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C59AB" w14:textId="77777777" w:rsidR="00011D24" w:rsidRDefault="00BC5D66">
      <w:pPr>
        <w:spacing w:after="2245" w:line="259" w:lineRule="auto"/>
        <w:ind w:left="567" w:firstLine="0"/>
      </w:pPr>
      <w:r>
        <w:rPr>
          <w:sz w:val="2"/>
        </w:rPr>
        <w:t xml:space="preserve"> </w:t>
      </w:r>
    </w:p>
    <w:p w14:paraId="5008C538" w14:textId="3B21663F" w:rsidR="00011D24" w:rsidRDefault="00264524" w:rsidP="00264524">
      <w:pPr>
        <w:tabs>
          <w:tab w:val="left" w:pos="987"/>
        </w:tabs>
        <w:spacing w:after="2539" w:line="259" w:lineRule="auto"/>
        <w:ind w:left="569" w:firstLine="0"/>
      </w:pPr>
      <w:r>
        <w:tab/>
      </w:r>
      <w:r>
        <w:rPr>
          <w:rFonts w:ascii="Calibri" w:eastAsiaTheme="minorEastAsia" w:hAnsi="Calibri" w:cs="Calibri"/>
          <w:noProof/>
        </w:rPr>
        <w:fldChar w:fldCharType="begin"/>
      </w:r>
      <w:r>
        <w:rPr>
          <w:rFonts w:ascii="Calibri" w:eastAsiaTheme="minorEastAsia" w:hAnsi="Calibri" w:cs="Calibri"/>
          <w:noProof/>
        </w:rPr>
        <w:instrText xml:space="preserve"> INCLUDEPICTURE  "/Users/davidegarcia/Library/Containers/com.microsoft.Outlook/Data/Library/Caches/Signatures/signature_1859470907" \* MERGEFORMATINET </w:instrText>
      </w:r>
      <w:r>
        <w:rPr>
          <w:rFonts w:ascii="Calibri" w:eastAsiaTheme="minorEastAsia" w:hAnsi="Calibri" w:cs="Calibri"/>
          <w:noProof/>
        </w:rPr>
        <w:fldChar w:fldCharType="separate"/>
      </w:r>
      <w:r>
        <w:rPr>
          <w:rFonts w:ascii="Calibri" w:eastAsiaTheme="minorEastAsia" w:hAnsi="Calibri" w:cs="Calibri"/>
          <w:noProof/>
        </w:rPr>
        <w:drawing>
          <wp:inline distT="0" distB="0" distL="0" distR="0" wp14:anchorId="0B5C4ADE" wp14:editId="6EB0E12A">
            <wp:extent cx="3268133" cy="907402"/>
            <wp:effectExtent l="0" t="0" r="0" b="0"/>
            <wp:docPr id="1" name="Picture 1" descr="signature_1859470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nature_1859470907"/>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3429716" cy="952266"/>
                    </a:xfrm>
                    <a:prstGeom prst="rect">
                      <a:avLst/>
                    </a:prstGeom>
                    <a:noFill/>
                    <a:ln>
                      <a:noFill/>
                    </a:ln>
                  </pic:spPr>
                </pic:pic>
              </a:graphicData>
            </a:graphic>
          </wp:inline>
        </w:drawing>
      </w:r>
      <w:r>
        <w:rPr>
          <w:rFonts w:ascii="Calibri" w:eastAsiaTheme="minorEastAsia" w:hAnsi="Calibri" w:cs="Calibri"/>
          <w:noProof/>
        </w:rPr>
        <w:fldChar w:fldCharType="end"/>
      </w:r>
    </w:p>
    <w:p w14:paraId="7B82D5D9" w14:textId="77777777" w:rsidR="00011D24" w:rsidRDefault="00BC5D66">
      <w:pPr>
        <w:spacing w:after="374" w:line="259" w:lineRule="auto"/>
        <w:ind w:left="494" w:firstLine="0"/>
        <w:jc w:val="center"/>
      </w:pPr>
      <w:r>
        <w:rPr>
          <w:sz w:val="52"/>
        </w:rPr>
        <w:t xml:space="preserve">IronHorse Power Services, LLC </w:t>
      </w:r>
    </w:p>
    <w:p w14:paraId="6552E43C" w14:textId="77777777" w:rsidR="00011D24" w:rsidRDefault="00BC5D66">
      <w:pPr>
        <w:spacing w:after="0" w:line="259" w:lineRule="auto"/>
        <w:ind w:left="1752" w:firstLine="0"/>
      </w:pPr>
      <w:r>
        <w:rPr>
          <w:sz w:val="72"/>
        </w:rPr>
        <w:t xml:space="preserve">Risk Management Policy </w:t>
      </w:r>
    </w:p>
    <w:p w14:paraId="380ABC1F" w14:textId="77777777" w:rsidR="00011D24" w:rsidRDefault="00BC5D66">
      <w:pPr>
        <w:spacing w:after="0" w:line="447" w:lineRule="auto"/>
        <w:ind w:left="567" w:right="7959" w:firstLine="0"/>
      </w:pPr>
      <w:r>
        <w:rPr>
          <w:sz w:val="24"/>
        </w:rPr>
        <w:t xml:space="preserve">  </w:t>
      </w:r>
    </w:p>
    <w:p w14:paraId="0EDFC170" w14:textId="77777777" w:rsidR="00011D24" w:rsidRDefault="00BC5D66">
      <w:pPr>
        <w:spacing w:after="220" w:line="259" w:lineRule="auto"/>
        <w:ind w:left="1737" w:firstLine="0"/>
      </w:pPr>
      <w:r>
        <w:t xml:space="preserve"> </w:t>
      </w:r>
    </w:p>
    <w:p w14:paraId="6C3218F3" w14:textId="0D909401" w:rsidR="00011D24" w:rsidRDefault="00BC5D66" w:rsidP="0052677D">
      <w:pPr>
        <w:spacing w:after="220" w:line="259" w:lineRule="auto"/>
        <w:ind w:left="1737" w:firstLine="0"/>
      </w:pPr>
      <w:r>
        <w:t xml:space="preserve"> </w:t>
      </w:r>
    </w:p>
    <w:p w14:paraId="58F40E53" w14:textId="77777777" w:rsidR="00011D24" w:rsidRDefault="00BC5D66">
      <w:pPr>
        <w:spacing w:after="561" w:line="259" w:lineRule="auto"/>
        <w:ind w:left="1737" w:firstLine="0"/>
      </w:pPr>
      <w:r>
        <w:t xml:space="preserve">  </w:t>
      </w:r>
    </w:p>
    <w:p w14:paraId="2BC5E99A" w14:textId="7D6EAB5D" w:rsidR="00011D24" w:rsidRDefault="00BC5D66" w:rsidP="0052677D">
      <w:pPr>
        <w:spacing w:after="0" w:line="259" w:lineRule="auto"/>
        <w:ind w:left="1737" w:firstLine="0"/>
      </w:pPr>
      <w:r>
        <w:rPr>
          <w:sz w:val="36"/>
        </w:rPr>
        <w:t xml:space="preserve"> </w:t>
      </w:r>
      <w:r w:rsidR="0052677D">
        <w:rPr>
          <w:sz w:val="36"/>
        </w:rPr>
        <w:t>February</w:t>
      </w:r>
      <w:r>
        <w:rPr>
          <w:sz w:val="36"/>
        </w:rPr>
        <w:t>, 202</w:t>
      </w:r>
      <w:r w:rsidR="0052677D">
        <w:rPr>
          <w:sz w:val="36"/>
        </w:rPr>
        <w:t>2</w:t>
      </w:r>
      <w:r>
        <w:rPr>
          <w:rFonts w:ascii="Calibri" w:eastAsia="Calibri" w:hAnsi="Calibri" w:cs="Calibri"/>
          <w:noProof/>
          <w:sz w:val="22"/>
        </w:rPr>
        <mc:AlternateContent>
          <mc:Choice Requires="wpg">
            <w:drawing>
              <wp:inline distT="0" distB="0" distL="0" distR="0" wp14:anchorId="561976CC" wp14:editId="29EF61ED">
                <wp:extent cx="5760720" cy="57152"/>
                <wp:effectExtent l="0" t="0" r="0" b="0"/>
                <wp:docPr id="9739" name="Group 9739"/>
                <wp:cNvGraphicFramePr/>
                <a:graphic xmlns:a="http://schemas.openxmlformats.org/drawingml/2006/main">
                  <a:graphicData uri="http://schemas.microsoft.com/office/word/2010/wordprocessingGroup">
                    <wpg:wgp>
                      <wpg:cNvGrpSpPr/>
                      <wpg:grpSpPr>
                        <a:xfrm>
                          <a:off x="0" y="0"/>
                          <a:ext cx="5760720" cy="57152"/>
                          <a:chOff x="0" y="0"/>
                          <a:chExt cx="5760720" cy="57152"/>
                        </a:xfrm>
                      </wpg:grpSpPr>
                      <wps:wsp>
                        <wps:cNvPr id="11960" name="Shape 11960"/>
                        <wps:cNvSpPr/>
                        <wps:spPr>
                          <a:xfrm>
                            <a:off x="0" y="45720"/>
                            <a:ext cx="5760720" cy="11431"/>
                          </a:xfrm>
                          <a:custGeom>
                            <a:avLst/>
                            <a:gdLst/>
                            <a:ahLst/>
                            <a:cxnLst/>
                            <a:rect l="0" t="0" r="0" b="0"/>
                            <a:pathLst>
                              <a:path w="5760720" h="11431">
                                <a:moveTo>
                                  <a:pt x="0" y="0"/>
                                </a:moveTo>
                                <a:lnTo>
                                  <a:pt x="5760720" y="1"/>
                                </a:lnTo>
                                <a:lnTo>
                                  <a:pt x="5760720" y="11431"/>
                                </a:lnTo>
                                <a:lnTo>
                                  <a:pt x="0" y="11430"/>
                                </a:lnTo>
                                <a:lnTo>
                                  <a:pt x="0" y="0"/>
                                </a:lnTo>
                              </a:path>
                            </a:pathLst>
                          </a:custGeom>
                          <a:ln w="0" cap="flat">
                            <a:miter lim="127000"/>
                          </a:ln>
                        </wps:spPr>
                        <wps:style>
                          <a:lnRef idx="0">
                            <a:srgbClr val="000000">
                              <a:alpha val="0"/>
                            </a:srgbClr>
                          </a:lnRef>
                          <a:fillRef idx="1">
                            <a:srgbClr val="000080"/>
                          </a:fillRef>
                          <a:effectRef idx="0">
                            <a:scrgbClr r="0" g="0" b="0"/>
                          </a:effectRef>
                          <a:fontRef idx="none"/>
                        </wps:style>
                        <wps:bodyPr/>
                      </wps:wsp>
                      <wps:wsp>
                        <wps:cNvPr id="11961" name="Shape 11961"/>
                        <wps:cNvSpPr/>
                        <wps:spPr>
                          <a:xfrm>
                            <a:off x="0" y="0"/>
                            <a:ext cx="5760720" cy="34292"/>
                          </a:xfrm>
                          <a:custGeom>
                            <a:avLst/>
                            <a:gdLst/>
                            <a:ahLst/>
                            <a:cxnLst/>
                            <a:rect l="0" t="0" r="0" b="0"/>
                            <a:pathLst>
                              <a:path w="5760720" h="34292">
                                <a:moveTo>
                                  <a:pt x="0" y="0"/>
                                </a:moveTo>
                                <a:lnTo>
                                  <a:pt x="5760720" y="2"/>
                                </a:lnTo>
                                <a:lnTo>
                                  <a:pt x="5760720" y="34292"/>
                                </a:lnTo>
                                <a:lnTo>
                                  <a:pt x="0" y="34290"/>
                                </a:lnTo>
                                <a:lnTo>
                                  <a:pt x="0" y="0"/>
                                </a:lnTo>
                              </a:path>
                            </a:pathLst>
                          </a:custGeom>
                          <a:ln w="0" cap="flat">
                            <a:miter lim="127000"/>
                          </a:ln>
                        </wps:spPr>
                        <wps:style>
                          <a:lnRef idx="0">
                            <a:srgbClr val="000000">
                              <a:alpha val="0"/>
                            </a:srgbClr>
                          </a:lnRef>
                          <a:fillRef idx="1">
                            <a:srgbClr val="000080"/>
                          </a:fillRef>
                          <a:effectRef idx="0">
                            <a:scrgbClr r="0" g="0" b="0"/>
                          </a:effectRef>
                          <a:fontRef idx="none"/>
                        </wps:style>
                        <wps:bodyPr/>
                      </wps:wsp>
                    </wpg:wgp>
                  </a:graphicData>
                </a:graphic>
              </wp:inline>
            </w:drawing>
          </mc:Choice>
          <mc:Fallback xmlns:a="http://schemas.openxmlformats.org/drawingml/2006/main">
            <w:pict>
              <v:group id="Group 9739" style="width:453.6pt;height:4.50012pt;mso-position-horizontal-relative:char;mso-position-vertical-relative:line" coordsize="57607,571">
                <v:shape id="Shape 11962" style="position:absolute;width:57607;height:114;left:0;top:457;" coordsize="5760720,11431" path="m0,0l5760720,1l5760720,11431l0,11430l0,0">
                  <v:stroke weight="0pt" endcap="flat" joinstyle="miter" miterlimit="10" on="false" color="#000000" opacity="0"/>
                  <v:fill on="true" color="#000080"/>
                </v:shape>
                <v:shape id="Shape 11963" style="position:absolute;width:57607;height:342;left:0;top:0;" coordsize="5760720,34292" path="m0,0l5760720,2l5760720,34292l0,34290l0,0">
                  <v:stroke weight="0pt" endcap="flat" joinstyle="miter" miterlimit="10" on="false" color="#000000" opacity="0"/>
                  <v:fill on="true" color="#000080"/>
                </v:shape>
              </v:group>
            </w:pict>
          </mc:Fallback>
        </mc:AlternateContent>
      </w:r>
    </w:p>
    <w:p w14:paraId="629F8D3D" w14:textId="77777777" w:rsidR="00011D24" w:rsidRDefault="00BC5D66">
      <w:pPr>
        <w:spacing w:after="0" w:line="259" w:lineRule="auto"/>
        <w:ind w:left="567" w:firstLine="0"/>
      </w:pPr>
      <w:r>
        <w:t xml:space="preserve"> </w:t>
      </w:r>
    </w:p>
    <w:tbl>
      <w:tblPr>
        <w:tblStyle w:val="TableGrid"/>
        <w:tblW w:w="8822" w:type="dxa"/>
        <w:tblInd w:w="721" w:type="dxa"/>
        <w:tblCellMar>
          <w:top w:w="103" w:type="dxa"/>
          <w:left w:w="106" w:type="dxa"/>
          <w:right w:w="115" w:type="dxa"/>
        </w:tblCellMar>
        <w:tblLook w:val="04A0" w:firstRow="1" w:lastRow="0" w:firstColumn="1" w:lastColumn="0" w:noHBand="0" w:noVBand="1"/>
      </w:tblPr>
      <w:tblGrid>
        <w:gridCol w:w="3062"/>
        <w:gridCol w:w="5760"/>
      </w:tblGrid>
      <w:tr w:rsidR="00011D24" w14:paraId="6193F285" w14:textId="77777777">
        <w:trPr>
          <w:trHeight w:val="379"/>
        </w:trPr>
        <w:tc>
          <w:tcPr>
            <w:tcW w:w="3062" w:type="dxa"/>
            <w:tcBorders>
              <w:top w:val="single" w:sz="4" w:space="0" w:color="000000"/>
              <w:left w:val="single" w:sz="4" w:space="0" w:color="000000"/>
              <w:bottom w:val="single" w:sz="4" w:space="0" w:color="000000"/>
              <w:right w:val="single" w:sz="4" w:space="0" w:color="000000"/>
            </w:tcBorders>
            <w:vAlign w:val="center"/>
          </w:tcPr>
          <w:p w14:paraId="1DFA4444" w14:textId="77777777" w:rsidR="00011D24" w:rsidRDefault="00BC5D66">
            <w:pPr>
              <w:spacing w:after="0" w:line="259" w:lineRule="auto"/>
              <w:ind w:left="0" w:firstLine="0"/>
            </w:pPr>
            <w:r>
              <w:rPr>
                <w:sz w:val="13"/>
              </w:rPr>
              <w:t>Date Issued:</w:t>
            </w:r>
            <w:r>
              <w:t xml:space="preserve"> </w:t>
            </w:r>
          </w:p>
        </w:tc>
        <w:tc>
          <w:tcPr>
            <w:tcW w:w="5760" w:type="dxa"/>
            <w:tcBorders>
              <w:top w:val="single" w:sz="4" w:space="0" w:color="000000"/>
              <w:left w:val="single" w:sz="4" w:space="0" w:color="000000"/>
              <w:bottom w:val="single" w:sz="4" w:space="0" w:color="000000"/>
              <w:right w:val="single" w:sz="4" w:space="0" w:color="000000"/>
            </w:tcBorders>
            <w:vAlign w:val="center"/>
          </w:tcPr>
          <w:p w14:paraId="251995C8" w14:textId="3A2F9BA7" w:rsidR="00011D24" w:rsidRDefault="00BC5D66">
            <w:pPr>
              <w:spacing w:after="0" w:line="259" w:lineRule="auto"/>
              <w:ind w:left="0" w:firstLine="0"/>
            </w:pPr>
            <w:r>
              <w:rPr>
                <w:sz w:val="13"/>
              </w:rPr>
              <w:t xml:space="preserve">Approved by: </w:t>
            </w:r>
            <w:r w:rsidR="00F115F3">
              <w:t>Peter Buell, Chief Executive Officer</w:t>
            </w:r>
          </w:p>
        </w:tc>
      </w:tr>
      <w:tr w:rsidR="00011D24" w14:paraId="4F192272" w14:textId="77777777">
        <w:trPr>
          <w:trHeight w:val="384"/>
        </w:trPr>
        <w:tc>
          <w:tcPr>
            <w:tcW w:w="3062" w:type="dxa"/>
            <w:tcBorders>
              <w:top w:val="single" w:sz="4" w:space="0" w:color="000000"/>
              <w:left w:val="nil"/>
              <w:bottom w:val="nil"/>
              <w:right w:val="single" w:sz="4" w:space="0" w:color="000000"/>
            </w:tcBorders>
          </w:tcPr>
          <w:p w14:paraId="03CBC27E" w14:textId="77777777" w:rsidR="00011D24" w:rsidRDefault="00BC5D66">
            <w:pPr>
              <w:spacing w:after="0" w:line="259" w:lineRule="auto"/>
              <w:ind w:left="0" w:firstLine="0"/>
            </w:pPr>
            <w:r>
              <w:t xml:space="preserve"> </w:t>
            </w:r>
          </w:p>
        </w:tc>
        <w:tc>
          <w:tcPr>
            <w:tcW w:w="5760" w:type="dxa"/>
            <w:tcBorders>
              <w:top w:val="single" w:sz="4" w:space="0" w:color="000000"/>
              <w:left w:val="single" w:sz="4" w:space="0" w:color="000000"/>
              <w:bottom w:val="single" w:sz="4" w:space="0" w:color="000000"/>
              <w:right w:val="single" w:sz="4" w:space="0" w:color="000000"/>
            </w:tcBorders>
          </w:tcPr>
          <w:p w14:paraId="3AF11E03" w14:textId="77777777" w:rsidR="00011D24" w:rsidRDefault="00BC5D66">
            <w:pPr>
              <w:spacing w:after="0" w:line="259" w:lineRule="auto"/>
              <w:ind w:left="0" w:firstLine="0"/>
            </w:pPr>
            <w:r>
              <w:rPr>
                <w:vertAlign w:val="superscript"/>
              </w:rPr>
              <w:t xml:space="preserve">Name &amp; Title:  </w:t>
            </w:r>
            <w:r>
              <w:t xml:space="preserve">   Peter Buell, Chief Executive Officer</w:t>
            </w:r>
            <w:r>
              <w:rPr>
                <w:sz w:val="28"/>
              </w:rPr>
              <w:t xml:space="preserve"> </w:t>
            </w:r>
          </w:p>
        </w:tc>
      </w:tr>
    </w:tbl>
    <w:p w14:paraId="6C463FCB" w14:textId="37E59887" w:rsidR="00011D24" w:rsidRDefault="00BC5D66" w:rsidP="003A5465">
      <w:pPr>
        <w:spacing w:after="0" w:line="259" w:lineRule="auto"/>
        <w:ind w:left="567" w:firstLine="0"/>
      </w:pPr>
      <w:r>
        <w:t xml:space="preserve"> </w:t>
      </w:r>
    </w:p>
    <w:p w14:paraId="5E0A3DA3" w14:textId="77777777" w:rsidR="00011D24" w:rsidRDefault="00BC5D66">
      <w:pPr>
        <w:spacing w:after="192" w:line="259" w:lineRule="auto"/>
        <w:ind w:left="567" w:firstLine="0"/>
      </w:pPr>
      <w:r>
        <w:rPr>
          <w:b/>
          <w:sz w:val="26"/>
        </w:rPr>
        <w:lastRenderedPageBreak/>
        <w:t xml:space="preserve">TABLE OF CONTENTS </w:t>
      </w:r>
    </w:p>
    <w:p w14:paraId="49EB8FD3" w14:textId="77777777" w:rsidR="00011D24" w:rsidRDefault="00BC5D66">
      <w:pPr>
        <w:numPr>
          <w:ilvl w:val="0"/>
          <w:numId w:val="1"/>
        </w:numPr>
        <w:spacing w:after="0" w:line="259" w:lineRule="auto"/>
        <w:ind w:hanging="800"/>
      </w:pPr>
      <w:r>
        <w:rPr>
          <w:b/>
          <w:sz w:val="24"/>
        </w:rPr>
        <w:t xml:space="preserve">Summary - Overview  </w:t>
      </w:r>
    </w:p>
    <w:p w14:paraId="6CF963EC" w14:textId="28CF3351" w:rsidR="00011D24" w:rsidRDefault="00BC5D66" w:rsidP="00AD2A57">
      <w:pPr>
        <w:numPr>
          <w:ilvl w:val="1"/>
          <w:numId w:val="1"/>
        </w:numPr>
        <w:spacing w:after="3" w:line="252" w:lineRule="auto"/>
        <w:ind w:left="2160" w:hanging="810"/>
      </w:pPr>
      <w:r>
        <w:rPr>
          <w:sz w:val="22"/>
        </w:rPr>
        <w:t xml:space="preserve">Purpose of the Risk Management Policy </w:t>
      </w:r>
    </w:p>
    <w:p w14:paraId="367B3F82" w14:textId="111D5E0E" w:rsidR="00011D24" w:rsidRDefault="00BC5D66" w:rsidP="00AD2A57">
      <w:pPr>
        <w:numPr>
          <w:ilvl w:val="1"/>
          <w:numId w:val="1"/>
        </w:numPr>
        <w:spacing w:after="3" w:line="252" w:lineRule="auto"/>
        <w:ind w:left="2160" w:hanging="810"/>
      </w:pPr>
      <w:r>
        <w:rPr>
          <w:sz w:val="22"/>
        </w:rPr>
        <w:t xml:space="preserve">Risk Management objectives </w:t>
      </w:r>
      <w:r>
        <w:rPr>
          <w:sz w:val="22"/>
        </w:rPr>
        <w:tab/>
      </w:r>
    </w:p>
    <w:p w14:paraId="314031EC" w14:textId="7A6C71FF" w:rsidR="00011D24" w:rsidRDefault="00BC5D66" w:rsidP="00AD2A57">
      <w:pPr>
        <w:numPr>
          <w:ilvl w:val="1"/>
          <w:numId w:val="1"/>
        </w:numPr>
        <w:spacing w:after="3" w:line="252" w:lineRule="auto"/>
        <w:ind w:left="2160" w:hanging="810"/>
      </w:pPr>
      <w:r>
        <w:rPr>
          <w:sz w:val="22"/>
        </w:rPr>
        <w:t xml:space="preserve">Risk Management acknowledgment </w:t>
      </w:r>
      <w:r>
        <w:rPr>
          <w:sz w:val="22"/>
        </w:rPr>
        <w:tab/>
      </w:r>
    </w:p>
    <w:p w14:paraId="06C80075" w14:textId="5FBCC40B" w:rsidR="00264524" w:rsidRDefault="00BC5D66" w:rsidP="00AD2A57">
      <w:pPr>
        <w:numPr>
          <w:ilvl w:val="1"/>
          <w:numId w:val="1"/>
        </w:numPr>
        <w:spacing w:after="3" w:line="252" w:lineRule="auto"/>
        <w:ind w:left="2160" w:hanging="810"/>
        <w:rPr>
          <w:rFonts w:ascii="Calibri" w:eastAsia="Calibri" w:hAnsi="Calibri" w:cs="Calibri"/>
          <w:sz w:val="22"/>
        </w:rPr>
      </w:pPr>
      <w:r>
        <w:rPr>
          <w:sz w:val="22"/>
        </w:rPr>
        <w:t xml:space="preserve">Policy approvals </w:t>
      </w:r>
      <w:r>
        <w:rPr>
          <w:sz w:val="22"/>
        </w:rPr>
        <w:tab/>
      </w:r>
      <w:r>
        <w:rPr>
          <w:rFonts w:ascii="Calibri" w:eastAsia="Calibri" w:hAnsi="Calibri" w:cs="Calibri"/>
          <w:sz w:val="22"/>
        </w:rPr>
        <w:t xml:space="preserve"> </w:t>
      </w:r>
    </w:p>
    <w:p w14:paraId="0A649E3A" w14:textId="67B9C345" w:rsidR="00264524" w:rsidRDefault="00264524" w:rsidP="00264524">
      <w:pPr>
        <w:pStyle w:val="Heading1"/>
        <w:tabs>
          <w:tab w:val="center" w:pos="659"/>
          <w:tab w:val="center" w:pos="2522"/>
          <w:tab w:val="right" w:pos="9763"/>
        </w:tabs>
        <w:spacing w:after="0"/>
        <w:ind w:left="0" w:firstLine="0"/>
      </w:pPr>
      <w:r>
        <w:rPr>
          <w:rFonts w:ascii="Calibri" w:eastAsia="Calibri" w:hAnsi="Calibri" w:cs="Calibri"/>
          <w:b w:val="0"/>
        </w:rPr>
        <w:tab/>
      </w:r>
      <w:r>
        <w:t>2.</w:t>
      </w:r>
      <w:r>
        <w:rPr>
          <w:rFonts w:ascii="Calibri" w:eastAsia="Calibri" w:hAnsi="Calibri" w:cs="Calibri"/>
          <w:b w:val="0"/>
        </w:rPr>
        <w:t xml:space="preserve"> </w:t>
      </w:r>
      <w:r>
        <w:rPr>
          <w:rFonts w:ascii="Calibri" w:eastAsia="Calibri" w:hAnsi="Calibri" w:cs="Calibri"/>
          <w:b w:val="0"/>
        </w:rPr>
        <w:tab/>
      </w:r>
      <w:r>
        <w:t xml:space="preserve">Governance Structure </w:t>
      </w:r>
      <w:r>
        <w:tab/>
      </w:r>
      <w:r>
        <w:rPr>
          <w:rFonts w:ascii="Calibri" w:eastAsia="Calibri" w:hAnsi="Calibri" w:cs="Calibri"/>
          <w:b w:val="0"/>
        </w:rPr>
        <w:t xml:space="preserve"> </w:t>
      </w:r>
    </w:p>
    <w:p w14:paraId="5116C6F3" w14:textId="5C850FC5" w:rsidR="00264524" w:rsidRDefault="00264524" w:rsidP="00264524">
      <w:pPr>
        <w:tabs>
          <w:tab w:val="center" w:pos="1519"/>
          <w:tab w:val="center" w:pos="3853"/>
          <w:tab w:val="right" w:pos="9763"/>
        </w:tabs>
        <w:spacing w:after="3" w:line="252" w:lineRule="auto"/>
        <w:ind w:left="0" w:firstLine="0"/>
      </w:pPr>
      <w:r>
        <w:rPr>
          <w:rFonts w:ascii="Calibri" w:eastAsia="Calibri" w:hAnsi="Calibri" w:cs="Calibri"/>
          <w:sz w:val="22"/>
        </w:rPr>
        <w:tab/>
      </w:r>
      <w:r>
        <w:rPr>
          <w:sz w:val="22"/>
        </w:rPr>
        <w:t>2.1</w:t>
      </w:r>
      <w:r>
        <w:rPr>
          <w:rFonts w:ascii="Calibri" w:eastAsia="Calibri" w:hAnsi="Calibri" w:cs="Calibri"/>
          <w:sz w:val="22"/>
        </w:rPr>
        <w:t xml:space="preserve"> </w:t>
      </w:r>
      <w:r>
        <w:rPr>
          <w:rFonts w:ascii="Calibri" w:eastAsia="Calibri" w:hAnsi="Calibri" w:cs="Calibri"/>
          <w:sz w:val="22"/>
        </w:rPr>
        <w:tab/>
      </w:r>
      <w:r>
        <w:rPr>
          <w:sz w:val="22"/>
        </w:rPr>
        <w:t xml:space="preserve">Overview of Governance Structure </w:t>
      </w:r>
      <w:r>
        <w:rPr>
          <w:sz w:val="22"/>
        </w:rPr>
        <w:tab/>
      </w:r>
      <w:r>
        <w:rPr>
          <w:rFonts w:ascii="Calibri" w:eastAsia="Calibri" w:hAnsi="Calibri" w:cs="Calibri"/>
          <w:sz w:val="22"/>
        </w:rPr>
        <w:t xml:space="preserve"> </w:t>
      </w:r>
    </w:p>
    <w:p w14:paraId="71DB34BC" w14:textId="77BAF35F" w:rsidR="00264524" w:rsidRDefault="00264524" w:rsidP="00264524">
      <w:pPr>
        <w:tabs>
          <w:tab w:val="center" w:pos="1519"/>
          <w:tab w:val="center" w:pos="3052"/>
          <w:tab w:val="right" w:pos="9763"/>
        </w:tabs>
        <w:spacing w:after="3" w:line="252" w:lineRule="auto"/>
        <w:ind w:left="0" w:firstLine="0"/>
      </w:pPr>
      <w:r>
        <w:rPr>
          <w:rFonts w:ascii="Calibri" w:eastAsia="Calibri" w:hAnsi="Calibri" w:cs="Calibri"/>
          <w:sz w:val="22"/>
        </w:rPr>
        <w:tab/>
      </w:r>
      <w:r>
        <w:rPr>
          <w:sz w:val="22"/>
        </w:rPr>
        <w:t>2.2</w:t>
      </w:r>
      <w:r>
        <w:rPr>
          <w:rFonts w:ascii="Calibri" w:eastAsia="Calibri" w:hAnsi="Calibri" w:cs="Calibri"/>
          <w:sz w:val="22"/>
        </w:rPr>
        <w:t xml:space="preserve"> </w:t>
      </w:r>
      <w:r>
        <w:rPr>
          <w:rFonts w:ascii="Calibri" w:eastAsia="Calibri" w:hAnsi="Calibri" w:cs="Calibri"/>
          <w:sz w:val="22"/>
        </w:rPr>
        <w:tab/>
      </w:r>
      <w:r>
        <w:rPr>
          <w:sz w:val="22"/>
        </w:rPr>
        <w:t xml:space="preserve">Board of Directors </w:t>
      </w:r>
      <w:r>
        <w:rPr>
          <w:sz w:val="22"/>
        </w:rPr>
        <w:tab/>
      </w:r>
      <w:r>
        <w:rPr>
          <w:rFonts w:ascii="Calibri" w:eastAsia="Calibri" w:hAnsi="Calibri" w:cs="Calibri"/>
          <w:sz w:val="22"/>
        </w:rPr>
        <w:t xml:space="preserve"> </w:t>
      </w:r>
    </w:p>
    <w:p w14:paraId="0183160C" w14:textId="5A17788C" w:rsidR="00264524" w:rsidRDefault="00264524" w:rsidP="00264524">
      <w:pPr>
        <w:tabs>
          <w:tab w:val="center" w:pos="1519"/>
          <w:tab w:val="center" w:pos="2752"/>
          <w:tab w:val="right" w:pos="9763"/>
        </w:tabs>
        <w:spacing w:after="3" w:line="252" w:lineRule="auto"/>
        <w:ind w:left="0" w:firstLine="0"/>
      </w:pPr>
      <w:r>
        <w:rPr>
          <w:rFonts w:ascii="Calibri" w:eastAsia="Calibri" w:hAnsi="Calibri" w:cs="Calibri"/>
          <w:sz w:val="22"/>
        </w:rPr>
        <w:tab/>
      </w:r>
      <w:r>
        <w:rPr>
          <w:sz w:val="22"/>
        </w:rPr>
        <w:t>2.3</w:t>
      </w:r>
      <w:r>
        <w:rPr>
          <w:rFonts w:ascii="Calibri" w:eastAsia="Calibri" w:hAnsi="Calibri" w:cs="Calibri"/>
          <w:sz w:val="22"/>
        </w:rPr>
        <w:t xml:space="preserve"> </w:t>
      </w:r>
      <w:r>
        <w:rPr>
          <w:rFonts w:ascii="Calibri" w:eastAsia="Calibri" w:hAnsi="Calibri" w:cs="Calibri"/>
          <w:sz w:val="22"/>
        </w:rPr>
        <w:tab/>
      </w:r>
      <w:r>
        <w:rPr>
          <w:sz w:val="22"/>
        </w:rPr>
        <w:t xml:space="preserve">Committees </w:t>
      </w:r>
      <w:r>
        <w:rPr>
          <w:sz w:val="22"/>
        </w:rPr>
        <w:tab/>
      </w:r>
      <w:r>
        <w:rPr>
          <w:rFonts w:ascii="Calibri" w:eastAsia="Calibri" w:hAnsi="Calibri" w:cs="Calibri"/>
          <w:sz w:val="22"/>
        </w:rPr>
        <w:t xml:space="preserve"> </w:t>
      </w:r>
    </w:p>
    <w:p w14:paraId="5D439539" w14:textId="77777777" w:rsidR="00264524" w:rsidRDefault="00264524" w:rsidP="00264524">
      <w:pPr>
        <w:spacing w:after="3" w:line="252" w:lineRule="auto"/>
        <w:ind w:left="2176"/>
        <w:rPr>
          <w:sz w:val="22"/>
        </w:rPr>
      </w:pPr>
      <w:r>
        <w:rPr>
          <w:sz w:val="22"/>
        </w:rPr>
        <w:t>2.3.1</w:t>
      </w:r>
      <w:r>
        <w:rPr>
          <w:rFonts w:ascii="Calibri" w:eastAsia="Calibri" w:hAnsi="Calibri" w:cs="Calibri"/>
          <w:sz w:val="22"/>
        </w:rPr>
        <w:t xml:space="preserve"> </w:t>
      </w:r>
      <w:r>
        <w:rPr>
          <w:rFonts w:ascii="Calibri" w:eastAsia="Calibri" w:hAnsi="Calibri" w:cs="Calibri"/>
          <w:sz w:val="22"/>
        </w:rPr>
        <w:tab/>
      </w:r>
      <w:r>
        <w:rPr>
          <w:sz w:val="22"/>
        </w:rPr>
        <w:t xml:space="preserve">Risk Management Committee (RMC) </w:t>
      </w:r>
      <w:r>
        <w:rPr>
          <w:sz w:val="22"/>
        </w:rPr>
        <w:tab/>
      </w:r>
    </w:p>
    <w:p w14:paraId="1CF186AE" w14:textId="4A84A1E4" w:rsidR="00264524" w:rsidRDefault="00264524" w:rsidP="00264524">
      <w:pPr>
        <w:spacing w:after="3" w:line="252" w:lineRule="auto"/>
        <w:ind w:left="2176"/>
      </w:pPr>
      <w:r>
        <w:rPr>
          <w:sz w:val="22"/>
        </w:rPr>
        <w:t>1-2</w:t>
      </w:r>
      <w:r>
        <w:rPr>
          <w:rFonts w:ascii="Calibri" w:eastAsia="Calibri" w:hAnsi="Calibri" w:cs="Calibri"/>
          <w:sz w:val="22"/>
        </w:rPr>
        <w:t xml:space="preserve"> </w:t>
      </w:r>
      <w:r>
        <w:rPr>
          <w:sz w:val="22"/>
        </w:rPr>
        <w:t>2.3.2</w:t>
      </w:r>
      <w:r>
        <w:rPr>
          <w:rFonts w:ascii="Calibri" w:eastAsia="Calibri" w:hAnsi="Calibri" w:cs="Calibri"/>
          <w:sz w:val="22"/>
        </w:rPr>
        <w:t xml:space="preserve"> </w:t>
      </w:r>
      <w:r>
        <w:rPr>
          <w:rFonts w:ascii="Calibri" w:eastAsia="Calibri" w:hAnsi="Calibri" w:cs="Calibri"/>
          <w:sz w:val="22"/>
        </w:rPr>
        <w:tab/>
      </w:r>
      <w:r>
        <w:rPr>
          <w:sz w:val="22"/>
        </w:rPr>
        <w:t xml:space="preserve">Portfolio &amp; Transaction Review Committee (PTRC) </w:t>
      </w:r>
    </w:p>
    <w:p w14:paraId="78C87D27" w14:textId="51788892" w:rsidR="00264524" w:rsidRDefault="00264524" w:rsidP="00264524">
      <w:pPr>
        <w:tabs>
          <w:tab w:val="center" w:pos="1519"/>
          <w:tab w:val="center" w:pos="4134"/>
          <w:tab w:val="right" w:pos="9763"/>
        </w:tabs>
        <w:spacing w:after="3" w:line="252" w:lineRule="auto"/>
        <w:ind w:left="0" w:firstLine="0"/>
      </w:pPr>
      <w:r>
        <w:rPr>
          <w:rFonts w:ascii="Calibri" w:eastAsia="Calibri" w:hAnsi="Calibri" w:cs="Calibri"/>
          <w:sz w:val="22"/>
        </w:rPr>
        <w:tab/>
      </w:r>
      <w:r>
        <w:rPr>
          <w:sz w:val="22"/>
        </w:rPr>
        <w:t>2.4</w:t>
      </w:r>
      <w:r>
        <w:rPr>
          <w:rFonts w:ascii="Calibri" w:eastAsia="Calibri" w:hAnsi="Calibri" w:cs="Calibri"/>
          <w:sz w:val="22"/>
        </w:rPr>
        <w:t xml:space="preserve"> </w:t>
      </w:r>
      <w:r>
        <w:rPr>
          <w:rFonts w:ascii="Calibri" w:eastAsia="Calibri" w:hAnsi="Calibri" w:cs="Calibri"/>
          <w:sz w:val="22"/>
        </w:rPr>
        <w:tab/>
      </w:r>
      <w:r>
        <w:rPr>
          <w:sz w:val="22"/>
        </w:rPr>
        <w:t xml:space="preserve">Front Office, Mid Office, and Back Office </w:t>
      </w:r>
      <w:r>
        <w:rPr>
          <w:sz w:val="22"/>
        </w:rPr>
        <w:tab/>
      </w:r>
      <w:r>
        <w:rPr>
          <w:rFonts w:ascii="Calibri" w:eastAsia="Calibri" w:hAnsi="Calibri" w:cs="Calibri"/>
          <w:sz w:val="22"/>
        </w:rPr>
        <w:t xml:space="preserve"> </w:t>
      </w:r>
    </w:p>
    <w:p w14:paraId="3E76327F" w14:textId="181C3098" w:rsidR="00264524" w:rsidRDefault="00264524" w:rsidP="00264524">
      <w:pPr>
        <w:tabs>
          <w:tab w:val="center" w:pos="2411"/>
          <w:tab w:val="center" w:pos="3540"/>
          <w:tab w:val="right" w:pos="9763"/>
        </w:tabs>
        <w:spacing w:after="3" w:line="252" w:lineRule="auto"/>
        <w:ind w:left="0" w:firstLine="0"/>
      </w:pPr>
      <w:r>
        <w:rPr>
          <w:rFonts w:ascii="Calibri" w:eastAsia="Calibri" w:hAnsi="Calibri" w:cs="Calibri"/>
          <w:sz w:val="22"/>
        </w:rPr>
        <w:tab/>
      </w:r>
      <w:r>
        <w:rPr>
          <w:sz w:val="22"/>
        </w:rPr>
        <w:t>2.6.1</w:t>
      </w:r>
      <w:r>
        <w:rPr>
          <w:rFonts w:ascii="Calibri" w:eastAsia="Calibri" w:hAnsi="Calibri" w:cs="Calibri"/>
          <w:sz w:val="22"/>
        </w:rPr>
        <w:t xml:space="preserve"> </w:t>
      </w:r>
      <w:r>
        <w:rPr>
          <w:rFonts w:ascii="Calibri" w:eastAsia="Calibri" w:hAnsi="Calibri" w:cs="Calibri"/>
          <w:sz w:val="22"/>
        </w:rPr>
        <w:tab/>
      </w:r>
      <w:r>
        <w:rPr>
          <w:sz w:val="22"/>
        </w:rPr>
        <w:t xml:space="preserve">Front Office </w:t>
      </w:r>
      <w:r>
        <w:rPr>
          <w:sz w:val="22"/>
        </w:rPr>
        <w:tab/>
      </w:r>
      <w:r>
        <w:rPr>
          <w:rFonts w:ascii="Calibri" w:eastAsia="Calibri" w:hAnsi="Calibri" w:cs="Calibri"/>
          <w:sz w:val="22"/>
        </w:rPr>
        <w:t xml:space="preserve"> </w:t>
      </w:r>
    </w:p>
    <w:p w14:paraId="577C14F7" w14:textId="0C80EBBF" w:rsidR="00264524" w:rsidRDefault="00264524" w:rsidP="00264524">
      <w:pPr>
        <w:tabs>
          <w:tab w:val="center" w:pos="2411"/>
          <w:tab w:val="center" w:pos="3460"/>
          <w:tab w:val="right" w:pos="9763"/>
        </w:tabs>
        <w:spacing w:after="3" w:line="252" w:lineRule="auto"/>
        <w:ind w:left="0" w:firstLine="0"/>
      </w:pPr>
      <w:r>
        <w:rPr>
          <w:rFonts w:ascii="Calibri" w:eastAsia="Calibri" w:hAnsi="Calibri" w:cs="Calibri"/>
          <w:sz w:val="22"/>
        </w:rPr>
        <w:tab/>
      </w:r>
      <w:r>
        <w:rPr>
          <w:sz w:val="22"/>
        </w:rPr>
        <w:t>2.6.2</w:t>
      </w:r>
      <w:r>
        <w:rPr>
          <w:rFonts w:ascii="Calibri" w:eastAsia="Calibri" w:hAnsi="Calibri" w:cs="Calibri"/>
          <w:sz w:val="22"/>
        </w:rPr>
        <w:t xml:space="preserve"> </w:t>
      </w:r>
      <w:r>
        <w:rPr>
          <w:rFonts w:ascii="Calibri" w:eastAsia="Calibri" w:hAnsi="Calibri" w:cs="Calibri"/>
          <w:sz w:val="22"/>
        </w:rPr>
        <w:tab/>
      </w:r>
      <w:r>
        <w:rPr>
          <w:sz w:val="22"/>
        </w:rPr>
        <w:t xml:space="preserve">Mid Office </w:t>
      </w:r>
      <w:r>
        <w:rPr>
          <w:sz w:val="22"/>
        </w:rPr>
        <w:tab/>
      </w:r>
      <w:r>
        <w:rPr>
          <w:rFonts w:ascii="Calibri" w:eastAsia="Calibri" w:hAnsi="Calibri" w:cs="Calibri"/>
          <w:sz w:val="22"/>
        </w:rPr>
        <w:t xml:space="preserve"> </w:t>
      </w:r>
    </w:p>
    <w:p w14:paraId="4E3D37F9" w14:textId="48E0BE86" w:rsidR="00264524" w:rsidRDefault="00264524" w:rsidP="00264524">
      <w:pPr>
        <w:tabs>
          <w:tab w:val="center" w:pos="2411"/>
          <w:tab w:val="center" w:pos="3528"/>
          <w:tab w:val="right" w:pos="9763"/>
        </w:tabs>
        <w:spacing w:after="232" w:line="252" w:lineRule="auto"/>
        <w:ind w:left="0" w:firstLine="0"/>
      </w:pPr>
      <w:r>
        <w:rPr>
          <w:rFonts w:ascii="Calibri" w:eastAsia="Calibri" w:hAnsi="Calibri" w:cs="Calibri"/>
          <w:sz w:val="22"/>
        </w:rPr>
        <w:tab/>
      </w:r>
      <w:r>
        <w:rPr>
          <w:sz w:val="22"/>
        </w:rPr>
        <w:t>2.6.3</w:t>
      </w:r>
      <w:r>
        <w:rPr>
          <w:rFonts w:ascii="Calibri" w:eastAsia="Calibri" w:hAnsi="Calibri" w:cs="Calibri"/>
          <w:sz w:val="22"/>
        </w:rPr>
        <w:t xml:space="preserve"> </w:t>
      </w:r>
      <w:r>
        <w:rPr>
          <w:rFonts w:ascii="Calibri" w:eastAsia="Calibri" w:hAnsi="Calibri" w:cs="Calibri"/>
          <w:sz w:val="22"/>
        </w:rPr>
        <w:tab/>
      </w:r>
      <w:r>
        <w:rPr>
          <w:sz w:val="22"/>
        </w:rPr>
        <w:t xml:space="preserve">Back Office </w:t>
      </w:r>
      <w:r>
        <w:rPr>
          <w:sz w:val="22"/>
        </w:rPr>
        <w:tab/>
      </w:r>
      <w:r>
        <w:rPr>
          <w:rFonts w:ascii="Calibri" w:eastAsia="Calibri" w:hAnsi="Calibri" w:cs="Calibri"/>
          <w:sz w:val="22"/>
        </w:rPr>
        <w:t xml:space="preserve"> </w:t>
      </w:r>
    </w:p>
    <w:p w14:paraId="1D99290B" w14:textId="70FA0719" w:rsidR="00264524" w:rsidRDefault="00264524" w:rsidP="00264524">
      <w:pPr>
        <w:pStyle w:val="Heading1"/>
        <w:tabs>
          <w:tab w:val="center" w:pos="659"/>
          <w:tab w:val="center" w:pos="2937"/>
          <w:tab w:val="right" w:pos="9763"/>
        </w:tabs>
        <w:spacing w:after="0"/>
        <w:ind w:left="0" w:firstLine="0"/>
      </w:pPr>
      <w:r>
        <w:rPr>
          <w:rFonts w:ascii="Calibri" w:eastAsia="Calibri" w:hAnsi="Calibri" w:cs="Calibri"/>
          <w:b w:val="0"/>
        </w:rPr>
        <w:tab/>
      </w:r>
      <w:r>
        <w:t>3.</w:t>
      </w:r>
      <w:r>
        <w:rPr>
          <w:rFonts w:ascii="Calibri" w:eastAsia="Calibri" w:hAnsi="Calibri" w:cs="Calibri"/>
          <w:b w:val="0"/>
        </w:rPr>
        <w:t xml:space="preserve"> </w:t>
      </w:r>
      <w:r>
        <w:rPr>
          <w:rFonts w:ascii="Calibri" w:eastAsia="Calibri" w:hAnsi="Calibri" w:cs="Calibri"/>
          <w:b w:val="0"/>
        </w:rPr>
        <w:tab/>
      </w:r>
      <w:r>
        <w:t xml:space="preserve">Commodity Risk Management </w:t>
      </w:r>
      <w:r>
        <w:tab/>
      </w:r>
      <w:r>
        <w:rPr>
          <w:rFonts w:ascii="Calibri" w:eastAsia="Calibri" w:hAnsi="Calibri" w:cs="Calibri"/>
          <w:b w:val="0"/>
        </w:rPr>
        <w:t xml:space="preserve"> </w:t>
      </w:r>
    </w:p>
    <w:p w14:paraId="17C85FD1" w14:textId="42EF43EA" w:rsidR="00264524" w:rsidRDefault="00264524" w:rsidP="00264524">
      <w:pPr>
        <w:tabs>
          <w:tab w:val="center" w:pos="1519"/>
          <w:tab w:val="center" w:pos="2624"/>
          <w:tab w:val="right" w:pos="9763"/>
        </w:tabs>
        <w:spacing w:after="3" w:line="252" w:lineRule="auto"/>
        <w:ind w:left="0" w:firstLine="0"/>
      </w:pPr>
      <w:r>
        <w:rPr>
          <w:rFonts w:ascii="Calibri" w:eastAsia="Calibri" w:hAnsi="Calibri" w:cs="Calibri"/>
          <w:sz w:val="22"/>
        </w:rPr>
        <w:tab/>
      </w:r>
      <w:r>
        <w:rPr>
          <w:sz w:val="22"/>
        </w:rPr>
        <w:t>3.1</w:t>
      </w:r>
      <w:r>
        <w:rPr>
          <w:rFonts w:ascii="Calibri" w:eastAsia="Calibri" w:hAnsi="Calibri" w:cs="Calibri"/>
          <w:sz w:val="22"/>
        </w:rPr>
        <w:t xml:space="preserve"> </w:t>
      </w:r>
      <w:r>
        <w:rPr>
          <w:rFonts w:ascii="Calibri" w:eastAsia="Calibri" w:hAnsi="Calibri" w:cs="Calibri"/>
          <w:sz w:val="22"/>
        </w:rPr>
        <w:tab/>
      </w:r>
      <w:r>
        <w:rPr>
          <w:sz w:val="22"/>
        </w:rPr>
        <w:t xml:space="preserve">Overview </w:t>
      </w:r>
      <w:r>
        <w:rPr>
          <w:sz w:val="22"/>
        </w:rPr>
        <w:tab/>
      </w:r>
      <w:r>
        <w:rPr>
          <w:rFonts w:ascii="Calibri" w:eastAsia="Calibri" w:hAnsi="Calibri" w:cs="Calibri"/>
          <w:sz w:val="22"/>
        </w:rPr>
        <w:t xml:space="preserve"> </w:t>
      </w:r>
    </w:p>
    <w:p w14:paraId="7D10A013" w14:textId="700D4F55" w:rsidR="00264524" w:rsidRDefault="00264524" w:rsidP="00264524">
      <w:pPr>
        <w:tabs>
          <w:tab w:val="center" w:pos="1519"/>
          <w:tab w:val="center" w:pos="3242"/>
          <w:tab w:val="right" w:pos="9763"/>
        </w:tabs>
        <w:spacing w:after="3" w:line="252" w:lineRule="auto"/>
        <w:ind w:left="0" w:firstLine="0"/>
      </w:pPr>
      <w:r>
        <w:rPr>
          <w:rFonts w:ascii="Calibri" w:eastAsia="Calibri" w:hAnsi="Calibri" w:cs="Calibri"/>
          <w:sz w:val="22"/>
        </w:rPr>
        <w:tab/>
      </w:r>
      <w:r>
        <w:rPr>
          <w:sz w:val="22"/>
        </w:rPr>
        <w:t>3.2</w:t>
      </w:r>
      <w:r>
        <w:rPr>
          <w:rFonts w:ascii="Calibri" w:eastAsia="Calibri" w:hAnsi="Calibri" w:cs="Calibri"/>
          <w:sz w:val="22"/>
        </w:rPr>
        <w:t xml:space="preserve"> </w:t>
      </w:r>
      <w:r>
        <w:rPr>
          <w:rFonts w:ascii="Calibri" w:eastAsia="Calibri" w:hAnsi="Calibri" w:cs="Calibri"/>
          <w:sz w:val="22"/>
        </w:rPr>
        <w:tab/>
      </w:r>
      <w:r>
        <w:rPr>
          <w:sz w:val="22"/>
        </w:rPr>
        <w:t xml:space="preserve">Portfolio Management </w:t>
      </w:r>
      <w:r>
        <w:rPr>
          <w:sz w:val="22"/>
        </w:rPr>
        <w:tab/>
      </w:r>
      <w:r>
        <w:rPr>
          <w:rFonts w:ascii="Calibri" w:eastAsia="Calibri" w:hAnsi="Calibri" w:cs="Calibri"/>
          <w:sz w:val="22"/>
        </w:rPr>
        <w:t xml:space="preserve"> </w:t>
      </w:r>
    </w:p>
    <w:p w14:paraId="01DA003A" w14:textId="49A95C3A" w:rsidR="00264524" w:rsidRDefault="00264524" w:rsidP="00264524">
      <w:pPr>
        <w:tabs>
          <w:tab w:val="center" w:pos="2411"/>
          <w:tab w:val="center" w:pos="5056"/>
          <w:tab w:val="right" w:pos="9763"/>
        </w:tabs>
        <w:spacing w:after="3" w:line="252" w:lineRule="auto"/>
        <w:ind w:left="0" w:firstLine="0"/>
      </w:pPr>
      <w:r>
        <w:rPr>
          <w:rFonts w:ascii="Calibri" w:eastAsia="Calibri" w:hAnsi="Calibri" w:cs="Calibri"/>
          <w:sz w:val="22"/>
        </w:rPr>
        <w:tab/>
      </w:r>
      <w:r>
        <w:rPr>
          <w:sz w:val="22"/>
        </w:rPr>
        <w:t>3.2.1</w:t>
      </w:r>
      <w:r>
        <w:rPr>
          <w:rFonts w:ascii="Calibri" w:eastAsia="Calibri" w:hAnsi="Calibri" w:cs="Calibri"/>
          <w:sz w:val="22"/>
        </w:rPr>
        <w:t xml:space="preserve"> </w:t>
      </w:r>
      <w:r>
        <w:rPr>
          <w:rFonts w:ascii="Calibri" w:eastAsia="Calibri" w:hAnsi="Calibri" w:cs="Calibri"/>
          <w:sz w:val="22"/>
        </w:rPr>
        <w:tab/>
      </w:r>
      <w:r>
        <w:rPr>
          <w:sz w:val="22"/>
        </w:rPr>
        <w:t xml:space="preserve">Portfolio Structure for Energy Commodities </w:t>
      </w:r>
      <w:r>
        <w:rPr>
          <w:sz w:val="22"/>
        </w:rPr>
        <w:tab/>
      </w:r>
      <w:r>
        <w:rPr>
          <w:rFonts w:ascii="Calibri" w:eastAsia="Calibri" w:hAnsi="Calibri" w:cs="Calibri"/>
          <w:sz w:val="22"/>
        </w:rPr>
        <w:t xml:space="preserve"> </w:t>
      </w:r>
    </w:p>
    <w:p w14:paraId="23476659" w14:textId="0143E9BA" w:rsidR="00264524" w:rsidRDefault="00264524" w:rsidP="00264524">
      <w:pPr>
        <w:tabs>
          <w:tab w:val="center" w:pos="2411"/>
          <w:tab w:val="center" w:pos="5301"/>
          <w:tab w:val="right" w:pos="9763"/>
        </w:tabs>
        <w:spacing w:after="3" w:line="252" w:lineRule="auto"/>
        <w:ind w:left="0" w:firstLine="0"/>
      </w:pPr>
      <w:r>
        <w:rPr>
          <w:rFonts w:ascii="Calibri" w:eastAsia="Calibri" w:hAnsi="Calibri" w:cs="Calibri"/>
          <w:sz w:val="22"/>
        </w:rPr>
        <w:tab/>
      </w:r>
      <w:r>
        <w:rPr>
          <w:sz w:val="22"/>
        </w:rPr>
        <w:t>3.2.2</w:t>
      </w:r>
      <w:r>
        <w:rPr>
          <w:rFonts w:ascii="Calibri" w:eastAsia="Calibri" w:hAnsi="Calibri" w:cs="Calibri"/>
          <w:sz w:val="22"/>
        </w:rPr>
        <w:t xml:space="preserve"> </w:t>
      </w:r>
      <w:r>
        <w:rPr>
          <w:rFonts w:ascii="Calibri" w:eastAsia="Calibri" w:hAnsi="Calibri" w:cs="Calibri"/>
          <w:sz w:val="22"/>
        </w:rPr>
        <w:tab/>
      </w:r>
      <w:r>
        <w:rPr>
          <w:sz w:val="22"/>
        </w:rPr>
        <w:t xml:space="preserve">Managing Portfolio Risk of Energy Commodities </w:t>
      </w:r>
      <w:r>
        <w:rPr>
          <w:sz w:val="22"/>
        </w:rPr>
        <w:tab/>
      </w:r>
      <w:r>
        <w:rPr>
          <w:rFonts w:ascii="Calibri" w:eastAsia="Calibri" w:hAnsi="Calibri" w:cs="Calibri"/>
          <w:sz w:val="22"/>
        </w:rPr>
        <w:t xml:space="preserve"> </w:t>
      </w:r>
    </w:p>
    <w:p w14:paraId="552BDF2C" w14:textId="75E8BCCD" w:rsidR="00264524" w:rsidRDefault="00264524" w:rsidP="0052677D">
      <w:pPr>
        <w:spacing w:after="3" w:line="252" w:lineRule="auto"/>
        <w:ind w:left="2150" w:hanging="799"/>
      </w:pPr>
      <w:r>
        <w:rPr>
          <w:rFonts w:ascii="Calibri" w:eastAsia="Calibri" w:hAnsi="Calibri" w:cs="Calibri"/>
          <w:sz w:val="22"/>
        </w:rPr>
        <w:t xml:space="preserve">  </w:t>
      </w:r>
    </w:p>
    <w:p w14:paraId="0F1D8F80" w14:textId="63AAC8AC" w:rsidR="00264524" w:rsidRPr="006D7E2F" w:rsidRDefault="00264524" w:rsidP="00264524">
      <w:pPr>
        <w:pStyle w:val="Heading1"/>
        <w:tabs>
          <w:tab w:val="center" w:pos="659"/>
          <w:tab w:val="center" w:pos="2705"/>
          <w:tab w:val="right" w:pos="9763"/>
        </w:tabs>
        <w:spacing w:after="0"/>
        <w:ind w:left="0" w:firstLine="0"/>
        <w:rPr>
          <w:color w:val="000000" w:themeColor="text1"/>
        </w:rPr>
      </w:pPr>
      <w:r>
        <w:rPr>
          <w:rFonts w:ascii="Calibri" w:eastAsia="Calibri" w:hAnsi="Calibri" w:cs="Calibri"/>
          <w:b w:val="0"/>
        </w:rPr>
        <w:tab/>
      </w:r>
      <w:r>
        <w:t>4.</w:t>
      </w:r>
      <w:r w:rsidR="005143C6">
        <w:t xml:space="preserve">        </w:t>
      </w:r>
      <w:r>
        <w:rPr>
          <w:rFonts w:ascii="Calibri" w:eastAsia="Calibri" w:hAnsi="Calibri" w:cs="Calibri"/>
          <w:b w:val="0"/>
        </w:rPr>
        <w:t xml:space="preserve"> </w:t>
      </w:r>
      <w:r>
        <w:rPr>
          <w:rFonts w:ascii="Calibri" w:eastAsia="Calibri" w:hAnsi="Calibri" w:cs="Calibri"/>
          <w:b w:val="0"/>
        </w:rPr>
        <w:tab/>
      </w:r>
      <w:r w:rsidRPr="006D7E2F">
        <w:rPr>
          <w:color w:val="000000" w:themeColor="text1"/>
        </w:rPr>
        <w:t xml:space="preserve">Risk Management – </w:t>
      </w:r>
      <w:r w:rsidR="006D7E11" w:rsidRPr="006D7E2F">
        <w:rPr>
          <w:color w:val="000000" w:themeColor="text1"/>
        </w:rPr>
        <w:t xml:space="preserve">Reporting and Monitoring </w:t>
      </w:r>
      <w:r w:rsidRPr="006D7E2F">
        <w:rPr>
          <w:color w:val="000000" w:themeColor="text1"/>
        </w:rPr>
        <w:tab/>
      </w:r>
      <w:r w:rsidRPr="006D7E2F">
        <w:rPr>
          <w:rFonts w:ascii="Calibri" w:eastAsia="Calibri" w:hAnsi="Calibri" w:cs="Calibri"/>
          <w:b w:val="0"/>
          <w:color w:val="000000" w:themeColor="text1"/>
        </w:rPr>
        <w:t xml:space="preserve"> </w:t>
      </w:r>
    </w:p>
    <w:p w14:paraId="7C16E648" w14:textId="75E9A20F" w:rsidR="00264524" w:rsidRPr="006D7E2F" w:rsidRDefault="00264524" w:rsidP="005143C6">
      <w:pPr>
        <w:tabs>
          <w:tab w:val="center" w:pos="1519"/>
          <w:tab w:val="center" w:pos="2624"/>
          <w:tab w:val="right" w:pos="9763"/>
        </w:tabs>
        <w:spacing w:after="3" w:line="240" w:lineRule="auto"/>
        <w:ind w:left="1260" w:hanging="1260"/>
        <w:rPr>
          <w:color w:val="000000" w:themeColor="text1"/>
        </w:rPr>
      </w:pPr>
      <w:r w:rsidRPr="006D7E2F">
        <w:rPr>
          <w:rFonts w:ascii="Calibri" w:eastAsia="Calibri" w:hAnsi="Calibri" w:cs="Calibri"/>
          <w:color w:val="000000" w:themeColor="text1"/>
          <w:sz w:val="22"/>
        </w:rPr>
        <w:tab/>
      </w:r>
      <w:r w:rsidRPr="006D7E2F">
        <w:rPr>
          <w:color w:val="000000" w:themeColor="text1"/>
          <w:sz w:val="22"/>
        </w:rPr>
        <w:t>4.1</w:t>
      </w:r>
      <w:r w:rsidRPr="006D7E2F">
        <w:rPr>
          <w:rFonts w:ascii="Calibri" w:eastAsia="Calibri" w:hAnsi="Calibri" w:cs="Calibri"/>
          <w:color w:val="000000" w:themeColor="text1"/>
          <w:sz w:val="22"/>
        </w:rPr>
        <w:t xml:space="preserve"> </w:t>
      </w:r>
      <w:r w:rsidRPr="006D7E2F">
        <w:rPr>
          <w:rFonts w:ascii="Calibri" w:eastAsia="Calibri" w:hAnsi="Calibri" w:cs="Calibri"/>
          <w:color w:val="000000" w:themeColor="text1"/>
          <w:sz w:val="22"/>
        </w:rPr>
        <w:tab/>
      </w:r>
      <w:r w:rsidRPr="006D7E2F">
        <w:rPr>
          <w:color w:val="000000" w:themeColor="text1"/>
          <w:sz w:val="22"/>
        </w:rPr>
        <w:t xml:space="preserve">Overview </w:t>
      </w:r>
      <w:r w:rsidR="006D7E11" w:rsidRPr="006D7E2F">
        <w:rPr>
          <w:color w:val="000000" w:themeColor="text1"/>
          <w:sz w:val="22"/>
        </w:rPr>
        <w:t>RMC Members</w:t>
      </w:r>
      <w:r w:rsidRPr="006D7E2F">
        <w:rPr>
          <w:color w:val="000000" w:themeColor="text1"/>
          <w:sz w:val="22"/>
        </w:rPr>
        <w:tab/>
      </w:r>
      <w:r w:rsidRPr="006D7E2F">
        <w:rPr>
          <w:rFonts w:ascii="Calibri" w:eastAsia="Calibri" w:hAnsi="Calibri" w:cs="Calibri"/>
          <w:color w:val="000000" w:themeColor="text1"/>
          <w:sz w:val="22"/>
        </w:rPr>
        <w:t xml:space="preserve"> </w:t>
      </w:r>
    </w:p>
    <w:p w14:paraId="5274D4EA" w14:textId="244CB3EE" w:rsidR="006D7E11" w:rsidRPr="006D7E2F" w:rsidRDefault="00264524" w:rsidP="005143C6">
      <w:pPr>
        <w:tabs>
          <w:tab w:val="center" w:pos="1519"/>
          <w:tab w:val="center" w:pos="3211"/>
          <w:tab w:val="right" w:pos="9763"/>
        </w:tabs>
        <w:spacing w:after="204" w:line="240" w:lineRule="auto"/>
        <w:ind w:left="1260" w:hanging="1260"/>
        <w:rPr>
          <w:color w:val="000000" w:themeColor="text1"/>
          <w:sz w:val="22"/>
        </w:rPr>
      </w:pPr>
      <w:r w:rsidRPr="006D7E2F">
        <w:rPr>
          <w:rFonts w:ascii="Calibri" w:eastAsia="Calibri" w:hAnsi="Calibri" w:cs="Calibri"/>
          <w:color w:val="000000" w:themeColor="text1"/>
          <w:sz w:val="22"/>
        </w:rPr>
        <w:tab/>
      </w:r>
      <w:r w:rsidRPr="006D7E2F">
        <w:rPr>
          <w:color w:val="000000" w:themeColor="text1"/>
          <w:sz w:val="22"/>
        </w:rPr>
        <w:t>4.2</w:t>
      </w:r>
      <w:r w:rsidRPr="006D7E2F">
        <w:rPr>
          <w:rFonts w:ascii="Calibri" w:eastAsia="Calibri" w:hAnsi="Calibri" w:cs="Calibri"/>
          <w:color w:val="000000" w:themeColor="text1"/>
          <w:sz w:val="22"/>
        </w:rPr>
        <w:t xml:space="preserve"> </w:t>
      </w:r>
      <w:r w:rsidR="006D7E11" w:rsidRPr="006D7E2F">
        <w:rPr>
          <w:color w:val="000000" w:themeColor="text1"/>
          <w:sz w:val="22"/>
        </w:rPr>
        <w:t xml:space="preserve">Responsibilities </w:t>
      </w:r>
    </w:p>
    <w:p w14:paraId="2CB3776F" w14:textId="3E56F287" w:rsidR="006D7E11" w:rsidRPr="006D7E2F" w:rsidRDefault="006D7E11" w:rsidP="005143C6">
      <w:pPr>
        <w:tabs>
          <w:tab w:val="center" w:pos="1519"/>
          <w:tab w:val="center" w:pos="2624"/>
          <w:tab w:val="right" w:pos="9763"/>
        </w:tabs>
        <w:spacing w:after="3" w:line="240" w:lineRule="auto"/>
        <w:ind w:left="1260" w:hanging="1260"/>
        <w:rPr>
          <w:color w:val="000000" w:themeColor="text1"/>
        </w:rPr>
      </w:pPr>
      <w:r w:rsidRPr="006D7E2F">
        <w:rPr>
          <w:color w:val="000000" w:themeColor="text1"/>
          <w:sz w:val="22"/>
        </w:rPr>
        <w:tab/>
        <w:t>4.3</w:t>
      </w:r>
      <w:r w:rsidRPr="006D7E2F">
        <w:rPr>
          <w:rFonts w:ascii="Calibri" w:eastAsia="Calibri" w:hAnsi="Calibri" w:cs="Calibri"/>
          <w:color w:val="000000" w:themeColor="text1"/>
          <w:sz w:val="22"/>
        </w:rPr>
        <w:t xml:space="preserve"> </w:t>
      </w:r>
      <w:r w:rsidRPr="006D7E2F">
        <w:rPr>
          <w:color w:val="000000" w:themeColor="text1"/>
          <w:sz w:val="22"/>
        </w:rPr>
        <w:t>Limits</w:t>
      </w:r>
      <w:r w:rsidRPr="006D7E2F">
        <w:rPr>
          <w:color w:val="000000" w:themeColor="text1"/>
          <w:sz w:val="22"/>
        </w:rPr>
        <w:tab/>
      </w:r>
    </w:p>
    <w:p w14:paraId="2D9F780B" w14:textId="1EE7D7F8" w:rsidR="006D7E11" w:rsidRPr="006D7E2F" w:rsidRDefault="006D7E11" w:rsidP="005143C6">
      <w:pPr>
        <w:tabs>
          <w:tab w:val="center" w:pos="1519"/>
          <w:tab w:val="center" w:pos="3211"/>
          <w:tab w:val="right" w:pos="9763"/>
        </w:tabs>
        <w:spacing w:after="204" w:line="240" w:lineRule="auto"/>
        <w:ind w:left="1260" w:hanging="1260"/>
        <w:rPr>
          <w:color w:val="000000" w:themeColor="text1"/>
          <w:sz w:val="22"/>
        </w:rPr>
      </w:pPr>
      <w:r w:rsidRPr="006D7E2F">
        <w:rPr>
          <w:rFonts w:ascii="Calibri" w:eastAsia="Calibri" w:hAnsi="Calibri" w:cs="Calibri"/>
          <w:color w:val="000000" w:themeColor="text1"/>
          <w:sz w:val="22"/>
        </w:rPr>
        <w:tab/>
      </w:r>
      <w:r w:rsidRPr="006D7E2F">
        <w:rPr>
          <w:color w:val="000000" w:themeColor="text1"/>
          <w:sz w:val="22"/>
        </w:rPr>
        <w:t>4.4</w:t>
      </w:r>
      <w:r w:rsidRPr="006D7E2F">
        <w:rPr>
          <w:rFonts w:ascii="Calibri" w:eastAsia="Calibri" w:hAnsi="Calibri" w:cs="Calibri"/>
          <w:color w:val="000000" w:themeColor="text1"/>
          <w:sz w:val="22"/>
        </w:rPr>
        <w:t xml:space="preserve"> </w:t>
      </w:r>
      <w:r w:rsidRPr="006D7E2F">
        <w:rPr>
          <w:color w:val="000000" w:themeColor="text1"/>
          <w:sz w:val="22"/>
        </w:rPr>
        <w:t>Responsibilities</w:t>
      </w:r>
    </w:p>
    <w:p w14:paraId="2C277F4F" w14:textId="28A30999" w:rsidR="0052677D" w:rsidRPr="006D7E2F" w:rsidRDefault="0052677D" w:rsidP="005143C6">
      <w:pPr>
        <w:tabs>
          <w:tab w:val="center" w:pos="1519"/>
          <w:tab w:val="center" w:pos="3211"/>
          <w:tab w:val="right" w:pos="9763"/>
        </w:tabs>
        <w:spacing w:after="204" w:line="240" w:lineRule="auto"/>
        <w:ind w:left="1260" w:hanging="1260"/>
        <w:rPr>
          <w:color w:val="000000" w:themeColor="text1"/>
          <w:sz w:val="22"/>
        </w:rPr>
      </w:pPr>
      <w:r w:rsidRPr="006D7E2F">
        <w:rPr>
          <w:color w:val="000000" w:themeColor="text1"/>
          <w:sz w:val="22"/>
        </w:rPr>
        <w:tab/>
        <w:t>4.</w:t>
      </w:r>
      <w:r w:rsidR="006D7E11" w:rsidRPr="006D7E2F">
        <w:rPr>
          <w:color w:val="000000" w:themeColor="text1"/>
          <w:sz w:val="22"/>
        </w:rPr>
        <w:t>5</w:t>
      </w:r>
      <w:r w:rsidRPr="006D7E2F">
        <w:rPr>
          <w:rFonts w:ascii="Calibri" w:eastAsia="Calibri" w:hAnsi="Calibri" w:cs="Calibri"/>
          <w:color w:val="000000" w:themeColor="text1"/>
          <w:sz w:val="22"/>
        </w:rPr>
        <w:t xml:space="preserve"> </w:t>
      </w:r>
      <w:r w:rsidR="006D7E11" w:rsidRPr="006D7E2F">
        <w:rPr>
          <w:color w:val="000000" w:themeColor="text1"/>
          <w:sz w:val="22"/>
        </w:rPr>
        <w:t>Cash Month Reporting</w:t>
      </w:r>
    </w:p>
    <w:p w14:paraId="7A0323D0" w14:textId="11B40348" w:rsidR="0052677D" w:rsidRPr="006D7E2F" w:rsidRDefault="0052677D" w:rsidP="005143C6">
      <w:pPr>
        <w:tabs>
          <w:tab w:val="center" w:pos="1519"/>
          <w:tab w:val="center" w:pos="3211"/>
          <w:tab w:val="right" w:pos="9763"/>
        </w:tabs>
        <w:spacing w:after="204" w:line="240" w:lineRule="auto"/>
        <w:ind w:left="1260" w:hanging="1260"/>
        <w:rPr>
          <w:color w:val="000000" w:themeColor="text1"/>
          <w:sz w:val="22"/>
        </w:rPr>
      </w:pPr>
      <w:r w:rsidRPr="006D7E2F">
        <w:rPr>
          <w:color w:val="000000" w:themeColor="text1"/>
          <w:sz w:val="22"/>
        </w:rPr>
        <w:tab/>
        <w:t>4.</w:t>
      </w:r>
      <w:r w:rsidR="003A5465" w:rsidRPr="006D7E2F">
        <w:rPr>
          <w:color w:val="000000" w:themeColor="text1"/>
          <w:sz w:val="22"/>
        </w:rPr>
        <w:t>6</w:t>
      </w:r>
      <w:r w:rsidRPr="006D7E2F">
        <w:rPr>
          <w:rFonts w:ascii="Calibri" w:eastAsia="Calibri" w:hAnsi="Calibri" w:cs="Calibri"/>
          <w:color w:val="000000" w:themeColor="text1"/>
          <w:sz w:val="22"/>
        </w:rPr>
        <w:t xml:space="preserve"> </w:t>
      </w:r>
      <w:r w:rsidR="006D7E11" w:rsidRPr="006D7E2F">
        <w:rPr>
          <w:color w:val="000000" w:themeColor="text1"/>
          <w:sz w:val="22"/>
        </w:rPr>
        <w:t xml:space="preserve">RECs and </w:t>
      </w:r>
      <w:r w:rsidR="003A5465" w:rsidRPr="006D7E2F">
        <w:rPr>
          <w:color w:val="000000" w:themeColor="text1"/>
          <w:sz w:val="22"/>
        </w:rPr>
        <w:t xml:space="preserve">Ancillaries </w:t>
      </w:r>
    </w:p>
    <w:p w14:paraId="158D4E9F" w14:textId="0E6CE35A" w:rsidR="00264524" w:rsidRPr="003A5465" w:rsidRDefault="00264524" w:rsidP="003A5465">
      <w:pPr>
        <w:tabs>
          <w:tab w:val="center" w:pos="1519"/>
          <w:tab w:val="center" w:pos="3211"/>
          <w:tab w:val="right" w:pos="9763"/>
        </w:tabs>
        <w:spacing w:after="204" w:line="240" w:lineRule="auto"/>
        <w:rPr>
          <w:sz w:val="22"/>
        </w:rPr>
      </w:pPr>
      <w:r>
        <w:rPr>
          <w:rFonts w:ascii="Calibri" w:eastAsia="Calibri" w:hAnsi="Calibri" w:cs="Calibri"/>
          <w:sz w:val="22"/>
        </w:rPr>
        <w:t xml:space="preserve"> </w:t>
      </w:r>
    </w:p>
    <w:p w14:paraId="690DE3FB" w14:textId="1D32BBAF" w:rsidR="00264524" w:rsidRDefault="00264524" w:rsidP="00AD2A57">
      <w:pPr>
        <w:pStyle w:val="Heading1"/>
        <w:tabs>
          <w:tab w:val="center" w:pos="659"/>
          <w:tab w:val="center" w:pos="3090"/>
          <w:tab w:val="right" w:pos="9763"/>
        </w:tabs>
        <w:spacing w:after="0"/>
        <w:ind w:left="360" w:hanging="360"/>
      </w:pPr>
      <w:r>
        <w:rPr>
          <w:rFonts w:ascii="Calibri" w:eastAsia="Calibri" w:hAnsi="Calibri" w:cs="Calibri"/>
          <w:b w:val="0"/>
        </w:rPr>
        <w:tab/>
      </w:r>
      <w:r>
        <w:t>5.</w:t>
      </w:r>
      <w:r>
        <w:rPr>
          <w:rFonts w:ascii="Calibri" w:eastAsia="Calibri" w:hAnsi="Calibri" w:cs="Calibri"/>
          <w:b w:val="0"/>
        </w:rPr>
        <w:t xml:space="preserve"> </w:t>
      </w:r>
      <w:r>
        <w:rPr>
          <w:rFonts w:ascii="Calibri" w:eastAsia="Calibri" w:hAnsi="Calibri" w:cs="Calibri"/>
          <w:b w:val="0"/>
        </w:rPr>
        <w:tab/>
      </w:r>
      <w:r w:rsidR="005143C6">
        <w:rPr>
          <w:rFonts w:ascii="Calibri" w:eastAsia="Calibri" w:hAnsi="Calibri" w:cs="Calibri"/>
          <w:b w:val="0"/>
        </w:rPr>
        <w:t xml:space="preserve">        </w:t>
      </w:r>
      <w:r>
        <w:t xml:space="preserve">Minimum reporting requirements </w:t>
      </w:r>
      <w:r>
        <w:tab/>
      </w:r>
      <w:r>
        <w:rPr>
          <w:rFonts w:ascii="Calibri" w:eastAsia="Calibri" w:hAnsi="Calibri" w:cs="Calibri"/>
          <w:b w:val="0"/>
        </w:rPr>
        <w:t xml:space="preserve"> </w:t>
      </w:r>
    </w:p>
    <w:p w14:paraId="54EFF331" w14:textId="1DEDCD2A" w:rsidR="00264524" w:rsidRDefault="00264524" w:rsidP="00AD2A57">
      <w:pPr>
        <w:tabs>
          <w:tab w:val="center" w:pos="1519"/>
          <w:tab w:val="center" w:pos="2575"/>
          <w:tab w:val="right" w:pos="9763"/>
        </w:tabs>
        <w:spacing w:after="3" w:line="252" w:lineRule="auto"/>
        <w:ind w:left="1080" w:hanging="1080"/>
      </w:pPr>
      <w:r>
        <w:rPr>
          <w:rFonts w:ascii="Calibri" w:eastAsia="Calibri" w:hAnsi="Calibri" w:cs="Calibri"/>
          <w:sz w:val="22"/>
        </w:rPr>
        <w:tab/>
      </w:r>
      <w:r>
        <w:rPr>
          <w:sz w:val="22"/>
        </w:rPr>
        <w:t>5.1</w:t>
      </w:r>
      <w:r>
        <w:rPr>
          <w:rFonts w:ascii="Calibri" w:eastAsia="Calibri" w:hAnsi="Calibri" w:cs="Calibri"/>
          <w:sz w:val="22"/>
        </w:rPr>
        <w:t xml:space="preserve"> </w:t>
      </w:r>
      <w:r>
        <w:rPr>
          <w:rFonts w:ascii="Calibri" w:eastAsia="Calibri" w:hAnsi="Calibri" w:cs="Calibri"/>
          <w:sz w:val="22"/>
        </w:rPr>
        <w:tab/>
      </w:r>
      <w:r>
        <w:rPr>
          <w:sz w:val="22"/>
        </w:rPr>
        <w:t xml:space="preserve">Purpose </w:t>
      </w:r>
      <w:r>
        <w:rPr>
          <w:sz w:val="22"/>
        </w:rPr>
        <w:tab/>
      </w:r>
      <w:r>
        <w:rPr>
          <w:rFonts w:ascii="Calibri" w:eastAsia="Calibri" w:hAnsi="Calibri" w:cs="Calibri"/>
          <w:sz w:val="22"/>
        </w:rPr>
        <w:t xml:space="preserve"> </w:t>
      </w:r>
    </w:p>
    <w:p w14:paraId="145184EE" w14:textId="46E49555" w:rsidR="00264524" w:rsidRDefault="00264524" w:rsidP="00AD2A57">
      <w:pPr>
        <w:tabs>
          <w:tab w:val="center" w:pos="1519"/>
          <w:tab w:val="center" w:pos="2752"/>
          <w:tab w:val="right" w:pos="9763"/>
        </w:tabs>
        <w:spacing w:after="203" w:line="252" w:lineRule="auto"/>
        <w:ind w:left="1080" w:hanging="1080"/>
      </w:pPr>
      <w:r>
        <w:rPr>
          <w:rFonts w:ascii="Calibri" w:eastAsia="Calibri" w:hAnsi="Calibri" w:cs="Calibri"/>
          <w:sz w:val="22"/>
        </w:rPr>
        <w:tab/>
      </w:r>
      <w:r>
        <w:rPr>
          <w:sz w:val="22"/>
        </w:rPr>
        <w:t>5.2</w:t>
      </w:r>
      <w:r>
        <w:rPr>
          <w:rFonts w:ascii="Calibri" w:eastAsia="Calibri" w:hAnsi="Calibri" w:cs="Calibri"/>
          <w:sz w:val="22"/>
        </w:rPr>
        <w:t xml:space="preserve"> </w:t>
      </w:r>
      <w:r>
        <w:rPr>
          <w:rFonts w:ascii="Calibri" w:eastAsia="Calibri" w:hAnsi="Calibri" w:cs="Calibri"/>
          <w:sz w:val="22"/>
        </w:rPr>
        <w:tab/>
      </w:r>
      <w:r>
        <w:rPr>
          <w:sz w:val="22"/>
        </w:rPr>
        <w:t xml:space="preserve">Risk reports </w:t>
      </w:r>
      <w:r>
        <w:rPr>
          <w:sz w:val="22"/>
        </w:rPr>
        <w:tab/>
        <w:t xml:space="preserve"> </w:t>
      </w:r>
    </w:p>
    <w:p w14:paraId="1665680B" w14:textId="77777777" w:rsidR="00264524" w:rsidRDefault="00264524" w:rsidP="00264524">
      <w:pPr>
        <w:spacing w:after="354" w:line="259" w:lineRule="auto"/>
        <w:ind w:left="567" w:firstLine="0"/>
      </w:pPr>
      <w:r>
        <w:t xml:space="preserve"> </w:t>
      </w:r>
    </w:p>
    <w:p w14:paraId="4B552FB5" w14:textId="4A41A5E2" w:rsidR="00264524" w:rsidRDefault="00264524" w:rsidP="00264524">
      <w:pPr>
        <w:tabs>
          <w:tab w:val="center" w:pos="1276"/>
          <w:tab w:val="center" w:pos="4321"/>
          <w:tab w:val="right" w:pos="9763"/>
        </w:tabs>
        <w:spacing w:after="204" w:line="259" w:lineRule="auto"/>
        <w:ind w:left="0" w:firstLine="0"/>
      </w:pPr>
      <w:r>
        <w:rPr>
          <w:rFonts w:ascii="Calibri" w:eastAsia="Calibri" w:hAnsi="Calibri" w:cs="Calibri"/>
          <w:sz w:val="22"/>
        </w:rPr>
        <w:tab/>
      </w:r>
      <w:r>
        <w:rPr>
          <w:b/>
          <w:sz w:val="22"/>
        </w:rPr>
        <w:t>APPENDIX A:</w:t>
      </w: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b/>
          <w:sz w:val="28"/>
        </w:rPr>
        <w:t xml:space="preserve">Risk </w:t>
      </w:r>
      <w:r>
        <w:rPr>
          <w:b/>
          <w:sz w:val="22"/>
        </w:rPr>
        <w:t xml:space="preserve">Committee members </w:t>
      </w:r>
      <w:r>
        <w:rPr>
          <w:b/>
          <w:sz w:val="22"/>
        </w:rPr>
        <w:tab/>
      </w:r>
      <w:r>
        <w:rPr>
          <w:rFonts w:ascii="Calibri" w:eastAsia="Calibri" w:hAnsi="Calibri" w:cs="Calibri"/>
          <w:sz w:val="22"/>
        </w:rPr>
        <w:t xml:space="preserve"> </w:t>
      </w:r>
    </w:p>
    <w:p w14:paraId="1E14180F" w14:textId="6C27954A" w:rsidR="00264524" w:rsidRDefault="00264524" w:rsidP="00264524">
      <w:pPr>
        <w:tabs>
          <w:tab w:val="center" w:pos="1276"/>
          <w:tab w:val="center" w:pos="4328"/>
          <w:tab w:val="right" w:pos="9763"/>
        </w:tabs>
        <w:spacing w:after="204" w:line="259" w:lineRule="auto"/>
        <w:ind w:left="0" w:firstLine="0"/>
      </w:pPr>
      <w:r>
        <w:rPr>
          <w:rFonts w:ascii="Calibri" w:eastAsia="Calibri" w:hAnsi="Calibri" w:cs="Calibri"/>
          <w:sz w:val="22"/>
        </w:rPr>
        <w:tab/>
      </w:r>
      <w:r>
        <w:rPr>
          <w:b/>
          <w:sz w:val="22"/>
        </w:rPr>
        <w:t>APPENDIX B:</w:t>
      </w:r>
      <w:r>
        <w:rPr>
          <w:rFonts w:ascii="Calibri" w:eastAsia="Calibri" w:hAnsi="Calibri" w:cs="Calibri"/>
          <w:sz w:val="22"/>
        </w:rPr>
        <w:t xml:space="preserve"> </w:t>
      </w:r>
      <w:r>
        <w:rPr>
          <w:rFonts w:ascii="Calibri" w:eastAsia="Calibri" w:hAnsi="Calibri" w:cs="Calibri"/>
          <w:sz w:val="22"/>
        </w:rPr>
        <w:tab/>
      </w:r>
      <w:r>
        <w:rPr>
          <w:b/>
          <w:sz w:val="22"/>
        </w:rPr>
        <w:t xml:space="preserve">Roles and responsibilities </w:t>
      </w:r>
      <w:r>
        <w:rPr>
          <w:b/>
          <w:sz w:val="22"/>
        </w:rPr>
        <w:tab/>
      </w:r>
      <w:r>
        <w:rPr>
          <w:rFonts w:ascii="Calibri" w:eastAsia="Calibri" w:hAnsi="Calibri" w:cs="Calibri"/>
          <w:sz w:val="22"/>
        </w:rPr>
        <w:t xml:space="preserve"> </w:t>
      </w:r>
    </w:p>
    <w:p w14:paraId="03EBC11C" w14:textId="5385BE4B" w:rsidR="00264524" w:rsidRDefault="00264524" w:rsidP="00264524">
      <w:pPr>
        <w:pStyle w:val="Heading1"/>
        <w:tabs>
          <w:tab w:val="center" w:pos="1276"/>
          <w:tab w:val="center" w:pos="4096"/>
          <w:tab w:val="right" w:pos="9763"/>
        </w:tabs>
        <w:ind w:left="0" w:firstLine="0"/>
      </w:pPr>
      <w:r>
        <w:rPr>
          <w:rFonts w:ascii="Calibri" w:eastAsia="Calibri" w:hAnsi="Calibri" w:cs="Calibri"/>
          <w:b w:val="0"/>
        </w:rPr>
        <w:tab/>
      </w:r>
      <w:r>
        <w:t>APPENDIX C:</w:t>
      </w:r>
      <w:r>
        <w:rPr>
          <w:rFonts w:ascii="Calibri" w:eastAsia="Calibri" w:hAnsi="Calibri" w:cs="Calibri"/>
          <w:b w:val="0"/>
        </w:rPr>
        <w:t xml:space="preserve"> </w:t>
      </w:r>
      <w:r>
        <w:rPr>
          <w:rFonts w:ascii="Calibri" w:eastAsia="Calibri" w:hAnsi="Calibri" w:cs="Calibri"/>
          <w:b w:val="0"/>
        </w:rPr>
        <w:tab/>
      </w:r>
      <w:r>
        <w:t xml:space="preserve">Approved Risk Limits </w:t>
      </w:r>
      <w:r>
        <w:tab/>
      </w:r>
      <w:r>
        <w:rPr>
          <w:rFonts w:ascii="Calibri" w:eastAsia="Calibri" w:hAnsi="Calibri" w:cs="Calibri"/>
          <w:b w:val="0"/>
        </w:rPr>
        <w:t xml:space="preserve"> </w:t>
      </w:r>
    </w:p>
    <w:p w14:paraId="065BF17E" w14:textId="77777777" w:rsidR="00264524" w:rsidRDefault="00264524" w:rsidP="00264524">
      <w:pPr>
        <w:spacing w:after="1152" w:line="259" w:lineRule="auto"/>
        <w:ind w:left="567" w:firstLine="0"/>
      </w:pPr>
      <w:r>
        <w:rPr>
          <w:rFonts w:ascii="Calibri" w:eastAsia="Calibri" w:hAnsi="Calibri" w:cs="Calibri"/>
          <w:sz w:val="22"/>
        </w:rPr>
        <w:t xml:space="preserve"> </w:t>
      </w:r>
    </w:p>
    <w:p w14:paraId="4D3B46BB" w14:textId="77777777" w:rsidR="00011D24" w:rsidRDefault="00BC5D66">
      <w:pPr>
        <w:pStyle w:val="Heading1"/>
        <w:tabs>
          <w:tab w:val="center" w:pos="659"/>
          <w:tab w:val="center" w:pos="1934"/>
        </w:tabs>
        <w:spacing w:after="0"/>
        <w:ind w:left="0" w:firstLine="0"/>
      </w:pPr>
      <w:r>
        <w:rPr>
          <w:rFonts w:ascii="Calibri" w:eastAsia="Calibri" w:hAnsi="Calibri" w:cs="Calibri"/>
          <w:b w:val="0"/>
        </w:rPr>
        <w:lastRenderedPageBreak/>
        <w:tab/>
      </w:r>
      <w:r>
        <w:rPr>
          <w:i/>
        </w:rPr>
        <w:t xml:space="preserve">1. </w:t>
      </w:r>
      <w:r>
        <w:rPr>
          <w:i/>
        </w:rPr>
        <w:tab/>
        <w:t xml:space="preserve">SUMMARY </w:t>
      </w:r>
    </w:p>
    <w:p w14:paraId="761553C4" w14:textId="77777777" w:rsidR="00011D24" w:rsidRDefault="00BC5D66">
      <w:pPr>
        <w:spacing w:after="285" w:line="259" w:lineRule="auto"/>
        <w:ind w:left="538" w:firstLine="0"/>
      </w:pPr>
      <w:r>
        <w:rPr>
          <w:rFonts w:ascii="Calibri" w:eastAsia="Calibri" w:hAnsi="Calibri" w:cs="Calibri"/>
          <w:noProof/>
          <w:sz w:val="22"/>
        </w:rPr>
        <mc:AlternateContent>
          <mc:Choice Requires="wpg">
            <w:drawing>
              <wp:inline distT="0" distB="0" distL="0" distR="0" wp14:anchorId="5F8C9790" wp14:editId="2F9F60AE">
                <wp:extent cx="5827777" cy="18288"/>
                <wp:effectExtent l="0" t="0" r="0" b="0"/>
                <wp:docPr id="9283" name="Group 9283"/>
                <wp:cNvGraphicFramePr/>
                <a:graphic xmlns:a="http://schemas.openxmlformats.org/drawingml/2006/main">
                  <a:graphicData uri="http://schemas.microsoft.com/office/word/2010/wordprocessingGroup">
                    <wpg:wgp>
                      <wpg:cNvGrpSpPr/>
                      <wpg:grpSpPr>
                        <a:xfrm>
                          <a:off x="0" y="0"/>
                          <a:ext cx="5827777" cy="18288"/>
                          <a:chOff x="0" y="0"/>
                          <a:chExt cx="5827777" cy="18288"/>
                        </a:xfrm>
                      </wpg:grpSpPr>
                      <wps:wsp>
                        <wps:cNvPr id="11964" name="Shape 11964"/>
                        <wps:cNvSpPr/>
                        <wps:spPr>
                          <a:xfrm>
                            <a:off x="0" y="0"/>
                            <a:ext cx="5827777" cy="18288"/>
                          </a:xfrm>
                          <a:custGeom>
                            <a:avLst/>
                            <a:gdLst/>
                            <a:ahLst/>
                            <a:cxnLst/>
                            <a:rect l="0" t="0" r="0" b="0"/>
                            <a:pathLst>
                              <a:path w="5827777" h="18288">
                                <a:moveTo>
                                  <a:pt x="0" y="0"/>
                                </a:moveTo>
                                <a:lnTo>
                                  <a:pt x="5827777" y="0"/>
                                </a:lnTo>
                                <a:lnTo>
                                  <a:pt x="5827777"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9283" style="width:458.88pt;height:1.44pt;mso-position-horizontal-relative:char;mso-position-vertical-relative:line" coordsize="58277,182">
                <v:shape id="Shape 11965" style="position:absolute;width:58277;height:182;left:0;top:0;" coordsize="5827777,18288" path="m0,0l5827777,0l5827777,18288l0,18288l0,0">
                  <v:stroke weight="0pt" endcap="flat" joinstyle="miter" miterlimit="10" on="false" color="#000000" opacity="0"/>
                  <v:fill on="true" color="#000000"/>
                </v:shape>
              </v:group>
            </w:pict>
          </mc:Fallback>
        </mc:AlternateContent>
      </w:r>
    </w:p>
    <w:p w14:paraId="2B3B6C42" w14:textId="77777777" w:rsidR="00011D24" w:rsidRDefault="00BC5D66">
      <w:pPr>
        <w:pStyle w:val="Heading1"/>
        <w:ind w:left="562"/>
      </w:pPr>
      <w:r>
        <w:t xml:space="preserve">PURPOSE OF THE RISK MANAGEMENT POLICY </w:t>
      </w:r>
    </w:p>
    <w:p w14:paraId="21B4E2BD" w14:textId="77777777" w:rsidR="00011D24" w:rsidRDefault="00BC5D66">
      <w:pPr>
        <w:spacing w:after="265"/>
        <w:ind w:left="562" w:right="12"/>
      </w:pPr>
      <w:r>
        <w:t xml:space="preserve">The Policy defines IronHorse Power Services (IHPS) Commodity Risk Management guidelines, including: </w:t>
      </w:r>
    </w:p>
    <w:p w14:paraId="336B406E" w14:textId="77777777" w:rsidR="00011D24" w:rsidRDefault="00BC5D66">
      <w:pPr>
        <w:numPr>
          <w:ilvl w:val="0"/>
          <w:numId w:val="2"/>
        </w:numPr>
        <w:ind w:right="12" w:hanging="360"/>
      </w:pPr>
      <w:r>
        <w:t xml:space="preserve">Objectives for Risk </w:t>
      </w:r>
      <w:proofErr w:type="gramStart"/>
      <w:r>
        <w:t>Management;</w:t>
      </w:r>
      <w:proofErr w:type="gramEnd"/>
      <w:r>
        <w:t xml:space="preserve"> </w:t>
      </w:r>
    </w:p>
    <w:p w14:paraId="349398A6" w14:textId="77777777" w:rsidR="00011D24" w:rsidRDefault="00BC5D66">
      <w:pPr>
        <w:numPr>
          <w:ilvl w:val="0"/>
          <w:numId w:val="2"/>
        </w:numPr>
        <w:ind w:right="12" w:hanging="360"/>
      </w:pPr>
      <w:r>
        <w:t xml:space="preserve">Governance </w:t>
      </w:r>
      <w:proofErr w:type="gramStart"/>
      <w:r>
        <w:t>Structure;</w:t>
      </w:r>
      <w:proofErr w:type="gramEnd"/>
      <w:r>
        <w:t xml:space="preserve"> </w:t>
      </w:r>
    </w:p>
    <w:p w14:paraId="1D53E63C" w14:textId="77777777" w:rsidR="00011D24" w:rsidRDefault="00BC5D66">
      <w:pPr>
        <w:numPr>
          <w:ilvl w:val="0"/>
          <w:numId w:val="2"/>
        </w:numPr>
        <w:spacing w:after="0" w:line="457" w:lineRule="auto"/>
        <w:ind w:right="12" w:hanging="360"/>
      </w:pPr>
      <w:r>
        <w:t xml:space="preserve">Portfolio approach; </w:t>
      </w:r>
      <w:r>
        <w:rPr>
          <w:rFonts w:ascii="Segoe UI Symbol" w:eastAsia="Segoe UI Symbol" w:hAnsi="Segoe UI Symbol" w:cs="Segoe UI Symbol"/>
        </w:rPr>
        <w:t>•</w:t>
      </w:r>
      <w:r>
        <w:t xml:space="preserve"> </w:t>
      </w:r>
      <w:r>
        <w:tab/>
        <w:t xml:space="preserve">Limits of Authority </w:t>
      </w:r>
    </w:p>
    <w:p w14:paraId="36B43BAD" w14:textId="77777777" w:rsidR="00011D24" w:rsidRDefault="00BC5D66">
      <w:pPr>
        <w:spacing w:after="286"/>
        <w:ind w:left="562" w:right="12"/>
      </w:pPr>
      <w:r>
        <w:t xml:space="preserve">The Policy applies to IHPS, its subsidiaries, employees, contractors, representatives, and agents. </w:t>
      </w:r>
    </w:p>
    <w:p w14:paraId="3B62384F" w14:textId="77777777" w:rsidR="00011D24" w:rsidRDefault="00BC5D66">
      <w:pPr>
        <w:pStyle w:val="Heading1"/>
        <w:ind w:left="562"/>
      </w:pPr>
      <w:r>
        <w:t xml:space="preserve">RISK MANAGEMENT OBJECTIVES </w:t>
      </w:r>
    </w:p>
    <w:p w14:paraId="42170E15" w14:textId="77777777" w:rsidR="00011D24" w:rsidRDefault="00BC5D66">
      <w:pPr>
        <w:spacing w:after="258"/>
        <w:ind w:left="562" w:right="12"/>
      </w:pPr>
      <w:r>
        <w:t xml:space="preserve">IHPS is establishing the following Risk Management objectives: </w:t>
      </w:r>
    </w:p>
    <w:p w14:paraId="09841E3D" w14:textId="77777777" w:rsidR="00011D24" w:rsidRDefault="00BC5D66">
      <w:pPr>
        <w:numPr>
          <w:ilvl w:val="0"/>
          <w:numId w:val="3"/>
        </w:numPr>
        <w:ind w:right="12" w:hanging="360"/>
      </w:pPr>
      <w:r>
        <w:t xml:space="preserve">Clearly state our risk tolerances through Limits and </w:t>
      </w:r>
      <w:proofErr w:type="gramStart"/>
      <w:r>
        <w:t>policies;</w:t>
      </w:r>
      <w:proofErr w:type="gramEnd"/>
      <w:r>
        <w:t xml:space="preserve">  </w:t>
      </w:r>
    </w:p>
    <w:p w14:paraId="2C88BF23" w14:textId="77777777" w:rsidR="00011D24" w:rsidRDefault="00BC5D66">
      <w:pPr>
        <w:numPr>
          <w:ilvl w:val="0"/>
          <w:numId w:val="3"/>
        </w:numPr>
        <w:ind w:right="12" w:hanging="360"/>
      </w:pPr>
      <w:r>
        <w:t xml:space="preserve">Enable achievement of desired ranges of </w:t>
      </w:r>
      <w:proofErr w:type="gramStart"/>
      <w:r>
        <w:t>profitability;</w:t>
      </w:r>
      <w:proofErr w:type="gramEnd"/>
      <w:r>
        <w:t xml:space="preserve"> </w:t>
      </w:r>
    </w:p>
    <w:p w14:paraId="1519654E" w14:textId="77777777" w:rsidR="00011D24" w:rsidRDefault="00BC5D66">
      <w:pPr>
        <w:numPr>
          <w:ilvl w:val="0"/>
          <w:numId w:val="3"/>
        </w:numPr>
        <w:spacing w:after="0" w:line="457" w:lineRule="auto"/>
        <w:ind w:right="12" w:hanging="360"/>
      </w:pPr>
      <w:r>
        <w:t xml:space="preserve">Manage working capital liquidity; </w:t>
      </w:r>
      <w:r>
        <w:rPr>
          <w:rFonts w:ascii="Segoe UI Symbol" w:eastAsia="Segoe UI Symbol" w:hAnsi="Segoe UI Symbol" w:cs="Segoe UI Symbol"/>
        </w:rPr>
        <w:t>•</w:t>
      </w:r>
      <w:r>
        <w:t xml:space="preserve"> </w:t>
      </w:r>
      <w:r>
        <w:tab/>
        <w:t xml:space="preserve">Efficiently use allocated Collateral; and </w:t>
      </w:r>
    </w:p>
    <w:p w14:paraId="0A500EAC" w14:textId="77777777" w:rsidR="00011D24" w:rsidRDefault="00BC5D66">
      <w:pPr>
        <w:numPr>
          <w:ilvl w:val="0"/>
          <w:numId w:val="3"/>
        </w:numPr>
        <w:spacing w:after="253"/>
        <w:ind w:right="12" w:hanging="360"/>
      </w:pPr>
      <w:r>
        <w:t xml:space="preserve">Optimize utilization of credit capacity. </w:t>
      </w:r>
    </w:p>
    <w:p w14:paraId="3C4F8BD7" w14:textId="77777777" w:rsidR="00011D24" w:rsidRDefault="00BC5D66">
      <w:pPr>
        <w:pStyle w:val="Heading1"/>
        <w:ind w:left="562"/>
      </w:pPr>
      <w:r>
        <w:t xml:space="preserve">RISK MANAGEMENT ACKNOWLEDGMENT </w:t>
      </w:r>
    </w:p>
    <w:p w14:paraId="52B48927" w14:textId="77777777" w:rsidR="00011D24" w:rsidRDefault="00BC5D66">
      <w:pPr>
        <w:ind w:left="562" w:right="12"/>
      </w:pPr>
      <w:r>
        <w:t xml:space="preserve">IHPS understands that many risks are inherent in its range of business activities, particularly concerning the contractual physical and financial Energy assets sensitive to short- and long-term commodity prices. </w:t>
      </w:r>
    </w:p>
    <w:p w14:paraId="72FE7308" w14:textId="77777777" w:rsidR="00011D24" w:rsidRDefault="00BC5D66">
      <w:pPr>
        <w:spacing w:after="289"/>
        <w:ind w:left="562" w:right="12"/>
      </w:pPr>
      <w:r>
        <w:t xml:space="preserve">IHPS acknowledges that effective Risk Management cannot mitigate all risks. Risk Management is implemented as a framework to systematically identify, </w:t>
      </w:r>
      <w:proofErr w:type="gramStart"/>
      <w:r>
        <w:t>assess</w:t>
      </w:r>
      <w:proofErr w:type="gramEnd"/>
      <w:r>
        <w:t xml:space="preserve"> and provide a business approach for managing risks. </w:t>
      </w:r>
    </w:p>
    <w:p w14:paraId="26900041" w14:textId="77777777" w:rsidR="00011D24" w:rsidRDefault="00BC5D66">
      <w:pPr>
        <w:pStyle w:val="Heading1"/>
        <w:ind w:left="562"/>
      </w:pPr>
      <w:r>
        <w:t xml:space="preserve">POLICY APPROVALS </w:t>
      </w:r>
    </w:p>
    <w:p w14:paraId="7D668B4F" w14:textId="77777777" w:rsidR="00011D24" w:rsidRDefault="00BC5D66">
      <w:pPr>
        <w:ind w:left="562" w:right="12"/>
      </w:pPr>
      <w:r>
        <w:t xml:space="preserve">IHPS ownership board ("Board") will review and approve the Policy at least annually.  </w:t>
      </w:r>
    </w:p>
    <w:p w14:paraId="61FB63C3" w14:textId="77777777" w:rsidR="00011D24" w:rsidRDefault="00BC5D66">
      <w:pPr>
        <w:ind w:left="562" w:right="12"/>
      </w:pPr>
      <w:r>
        <w:t xml:space="preserve">From time to time, recommendations for policy changes and amendments might be put forth to the Board by the Risk Management Committee ("RMC") for approval.  </w:t>
      </w:r>
    </w:p>
    <w:p w14:paraId="042F18AB" w14:textId="77777777" w:rsidR="00011D24" w:rsidRDefault="00BC5D66">
      <w:pPr>
        <w:spacing w:after="0"/>
        <w:ind w:left="562" w:right="12"/>
      </w:pPr>
      <w:r>
        <w:t xml:space="preserve">Only the Board can approve expanded portfolio limits.  The Board grants authority to the RMC to allocate and narrow portfolio limits.  </w:t>
      </w:r>
    </w:p>
    <w:p w14:paraId="1DD21005" w14:textId="77777777" w:rsidR="00011D24" w:rsidRDefault="00BC5D66">
      <w:pPr>
        <w:spacing w:after="369" w:line="259" w:lineRule="auto"/>
        <w:ind w:left="567" w:firstLine="0"/>
      </w:pPr>
      <w:r>
        <w:t xml:space="preserve"> </w:t>
      </w:r>
    </w:p>
    <w:p w14:paraId="0208798E" w14:textId="2265E9C2" w:rsidR="00011D24" w:rsidRDefault="00011D24">
      <w:pPr>
        <w:spacing w:after="587" w:line="259" w:lineRule="auto"/>
        <w:ind w:left="567" w:firstLine="0"/>
      </w:pPr>
    </w:p>
    <w:p w14:paraId="1A2BF862" w14:textId="77777777" w:rsidR="00011D24" w:rsidRDefault="00BC5D66">
      <w:pPr>
        <w:pStyle w:val="Heading1"/>
        <w:tabs>
          <w:tab w:val="center" w:pos="567"/>
          <w:tab w:val="center" w:pos="2872"/>
        </w:tabs>
        <w:spacing w:after="153"/>
        <w:ind w:left="0" w:firstLine="0"/>
      </w:pPr>
      <w:r>
        <w:rPr>
          <w:rFonts w:ascii="Calibri" w:eastAsia="Calibri" w:hAnsi="Calibri" w:cs="Calibri"/>
          <w:b w:val="0"/>
        </w:rPr>
        <w:lastRenderedPageBreak/>
        <w:tab/>
      </w:r>
      <w:r>
        <w:rPr>
          <w:b w:val="0"/>
          <w:sz w:val="20"/>
        </w:rPr>
        <w:t xml:space="preserve"> </w:t>
      </w:r>
      <w:r>
        <w:rPr>
          <w:b w:val="0"/>
          <w:sz w:val="20"/>
        </w:rPr>
        <w:tab/>
      </w:r>
      <w:r>
        <w:rPr>
          <w:sz w:val="32"/>
          <w:u w:val="single" w:color="000000"/>
        </w:rPr>
        <w:t>Governance Structure</w:t>
      </w:r>
      <w:r>
        <w:rPr>
          <w:sz w:val="32"/>
        </w:rPr>
        <w:t xml:space="preserve"> </w:t>
      </w:r>
    </w:p>
    <w:p w14:paraId="23E47922" w14:textId="77777777" w:rsidR="00011D24" w:rsidRDefault="00BC5D66">
      <w:pPr>
        <w:pStyle w:val="Heading2"/>
        <w:ind w:left="847"/>
      </w:pPr>
      <w:r>
        <w:t xml:space="preserve">2.0 OVERVIEW OF GOVERNANCE STRUCTURE </w:t>
      </w:r>
    </w:p>
    <w:p w14:paraId="0F07DA4E" w14:textId="77777777" w:rsidR="00011D24" w:rsidRDefault="00BC5D66">
      <w:pPr>
        <w:spacing w:after="258"/>
        <w:ind w:left="562" w:right="12"/>
      </w:pPr>
      <w:r>
        <w:t xml:space="preserve">This section serves to define and describe IHPS Governance Structure. </w:t>
      </w:r>
    </w:p>
    <w:p w14:paraId="3B4EAAB8" w14:textId="77777777" w:rsidR="00011D24" w:rsidRDefault="00BC5D66">
      <w:pPr>
        <w:numPr>
          <w:ilvl w:val="0"/>
          <w:numId w:val="4"/>
        </w:numPr>
        <w:spacing w:after="264"/>
        <w:ind w:right="12" w:hanging="360"/>
      </w:pPr>
      <w:proofErr w:type="gramStart"/>
      <w:r>
        <w:t>IHPS  Governance</w:t>
      </w:r>
      <w:proofErr w:type="gramEnd"/>
      <w:r>
        <w:t xml:space="preserve"> Structure is comprised of a three-tiered hierarchy, enhanced with checks and balances across business operations between the front, middle </w:t>
      </w:r>
    </w:p>
    <w:p w14:paraId="53F81A27" w14:textId="77777777" w:rsidR="00011D24" w:rsidRDefault="00BC5D66">
      <w:pPr>
        <w:numPr>
          <w:ilvl w:val="0"/>
          <w:numId w:val="4"/>
        </w:numPr>
        <w:ind w:right="12" w:hanging="360"/>
      </w:pPr>
      <w:r>
        <w:t xml:space="preserve">The IHPS </w:t>
      </w:r>
      <w:proofErr w:type="gramStart"/>
      <w:r>
        <w:t>Board;</w:t>
      </w:r>
      <w:proofErr w:type="gramEnd"/>
      <w:r>
        <w:t xml:space="preserve"> </w:t>
      </w:r>
    </w:p>
    <w:p w14:paraId="701024AE" w14:textId="77777777" w:rsidR="00011D24" w:rsidRDefault="00BC5D66">
      <w:pPr>
        <w:numPr>
          <w:ilvl w:val="0"/>
          <w:numId w:val="4"/>
        </w:numPr>
        <w:ind w:right="12" w:hanging="360"/>
      </w:pPr>
      <w:r>
        <w:t xml:space="preserve">Risk Management Committee (RMC) </w:t>
      </w:r>
    </w:p>
    <w:p w14:paraId="365C113C" w14:textId="77777777" w:rsidR="00011D24" w:rsidRDefault="00BC5D66">
      <w:pPr>
        <w:numPr>
          <w:ilvl w:val="0"/>
          <w:numId w:val="4"/>
        </w:numPr>
        <w:spacing w:after="253"/>
        <w:ind w:right="12" w:hanging="360"/>
      </w:pPr>
      <w:r>
        <w:t xml:space="preserve">COO – Risk Officer </w:t>
      </w:r>
    </w:p>
    <w:p w14:paraId="050E058A" w14:textId="77777777" w:rsidR="00011D24" w:rsidRDefault="00BC5D66">
      <w:pPr>
        <w:pStyle w:val="Heading2"/>
        <w:ind w:left="562"/>
      </w:pPr>
      <w:r>
        <w:t xml:space="preserve">2.11. BOARD OF DIRECTORS </w:t>
      </w:r>
    </w:p>
    <w:p w14:paraId="05F73157" w14:textId="77777777" w:rsidR="00011D24" w:rsidRDefault="00BC5D66">
      <w:pPr>
        <w:ind w:left="562" w:right="12"/>
      </w:pPr>
      <w:r>
        <w:t xml:space="preserve">The Board is accountable and responsible for Policy ratification. </w:t>
      </w:r>
    </w:p>
    <w:p w14:paraId="772C7E8A" w14:textId="77777777" w:rsidR="00011D24" w:rsidRDefault="00BC5D66">
      <w:pPr>
        <w:ind w:left="562" w:right="12"/>
      </w:pPr>
      <w:r>
        <w:t xml:space="preserve">The Board will receive position summaries of risk exposures, Risk Management activities,  </w:t>
      </w:r>
    </w:p>
    <w:p w14:paraId="00FF6D39" w14:textId="77777777" w:rsidR="00011D24" w:rsidRDefault="00BC5D66">
      <w:pPr>
        <w:spacing w:after="289"/>
        <w:ind w:left="562" w:right="12"/>
      </w:pPr>
      <w:r>
        <w:t xml:space="preserve">The board may be asked to approve amendments to the Policy upon request from the COO between meetings.  </w:t>
      </w:r>
    </w:p>
    <w:p w14:paraId="620DC533" w14:textId="77777777" w:rsidR="00011D24" w:rsidRDefault="00BC5D66">
      <w:pPr>
        <w:spacing w:after="239" w:line="259" w:lineRule="auto"/>
        <w:ind w:left="667"/>
      </w:pPr>
      <w:proofErr w:type="gramStart"/>
      <w:r>
        <w:rPr>
          <w:b/>
          <w:sz w:val="22"/>
        </w:rPr>
        <w:t>2.2  RISK</w:t>
      </w:r>
      <w:proofErr w:type="gramEnd"/>
      <w:r>
        <w:rPr>
          <w:b/>
          <w:sz w:val="22"/>
        </w:rPr>
        <w:t xml:space="preserve"> MANAGEMENT COMMITTEE </w:t>
      </w:r>
    </w:p>
    <w:p w14:paraId="455316C9" w14:textId="77777777" w:rsidR="00011D24" w:rsidRDefault="00BC5D66">
      <w:pPr>
        <w:pStyle w:val="Heading2"/>
        <w:ind w:left="562"/>
      </w:pPr>
      <w:r>
        <w:t xml:space="preserve">Risk Management Committee (RMC) </w:t>
      </w:r>
    </w:p>
    <w:p w14:paraId="1F9DF97C" w14:textId="77777777" w:rsidR="00011D24" w:rsidRDefault="00BC5D66">
      <w:pPr>
        <w:ind w:left="562" w:right="12"/>
      </w:pPr>
      <w:r>
        <w:t xml:space="preserve">The RMC is a governance body that is accountable and responsible for risk oversight by monitoring policies and Limits, monitoring risk Exposure, and adopting policies, procedures, and measurements within the Policy's framework.  </w:t>
      </w:r>
    </w:p>
    <w:p w14:paraId="0A78C312" w14:textId="77777777" w:rsidR="00011D24" w:rsidRDefault="00BC5D66">
      <w:pPr>
        <w:ind w:left="562" w:right="12"/>
      </w:pPr>
      <w:r>
        <w:t xml:space="preserve">The RMC will meet monthly, or more frequently, as applicable. </w:t>
      </w:r>
    </w:p>
    <w:p w14:paraId="55E045C8" w14:textId="77777777" w:rsidR="00011D24" w:rsidRDefault="00BC5D66">
      <w:pPr>
        <w:ind w:left="562" w:right="12"/>
      </w:pPr>
      <w:r>
        <w:t xml:space="preserve">RMC members are listed in Appendix A.1, "Risk Management Committee Members."  </w:t>
      </w:r>
    </w:p>
    <w:p w14:paraId="17E1E4FF" w14:textId="77777777" w:rsidR="00011D24" w:rsidRDefault="00BC5D66">
      <w:pPr>
        <w:spacing w:after="263"/>
        <w:ind w:left="562" w:right="12"/>
      </w:pPr>
      <w:r>
        <w:t xml:space="preserve">Responsibilities of the RMC are defined in Appendix B: "Roles and Responsibilities". </w:t>
      </w:r>
    </w:p>
    <w:p w14:paraId="501ACE39" w14:textId="77777777" w:rsidR="00011D24" w:rsidRDefault="00BC5D66">
      <w:pPr>
        <w:numPr>
          <w:ilvl w:val="0"/>
          <w:numId w:val="5"/>
        </w:numPr>
        <w:spacing w:after="265"/>
        <w:ind w:right="12" w:hanging="360"/>
      </w:pPr>
      <w:proofErr w:type="gramStart"/>
      <w:r>
        <w:t>Outside .</w:t>
      </w:r>
      <w:proofErr w:type="gramEnd"/>
      <w:r>
        <w:t xml:space="preserve">" regularly scheduled meetings, members of the RMC may be called upon to respond to critical issues, opportunities, or concerns that are raised by the COO or RMC members.  </w:t>
      </w:r>
    </w:p>
    <w:p w14:paraId="2F663467" w14:textId="77777777" w:rsidR="00011D24" w:rsidRDefault="00BC5D66">
      <w:pPr>
        <w:numPr>
          <w:ilvl w:val="0"/>
          <w:numId w:val="5"/>
        </w:numPr>
        <w:spacing w:after="260"/>
        <w:ind w:right="12" w:hanging="360"/>
      </w:pPr>
      <w:r>
        <w:t xml:space="preserve">The attendance of the Chief Executive Officer and or President will be required for a quorum. If a quorum is not available and topics for a vote cannot be deferred, the COO has final decision authority. </w:t>
      </w:r>
    </w:p>
    <w:p w14:paraId="7EF52922" w14:textId="77777777" w:rsidR="00011D24" w:rsidRDefault="00BC5D66">
      <w:pPr>
        <w:numPr>
          <w:ilvl w:val="0"/>
          <w:numId w:val="5"/>
        </w:numPr>
        <w:ind w:right="12" w:hanging="360"/>
      </w:pPr>
      <w:r>
        <w:t xml:space="preserve">If a voting member cannot attend a committee meeting, they may provide their proxy to the CEO.  This proxy shall be documented by an electronic email granting this authority from the party to the CEO. </w:t>
      </w:r>
    </w:p>
    <w:p w14:paraId="1E37F5C4" w14:textId="77777777" w:rsidR="00011D24" w:rsidRDefault="00BC5D66">
      <w:pPr>
        <w:spacing w:after="359" w:line="259" w:lineRule="auto"/>
        <w:ind w:left="1647" w:firstLine="0"/>
      </w:pPr>
      <w:r>
        <w:t xml:space="preserve"> </w:t>
      </w:r>
    </w:p>
    <w:p w14:paraId="63DC0FC8" w14:textId="77777777" w:rsidR="00011D24" w:rsidRDefault="00BC5D66">
      <w:pPr>
        <w:spacing w:after="0" w:line="449" w:lineRule="auto"/>
        <w:ind w:left="4844" w:right="4874" w:firstLine="0"/>
      </w:pPr>
      <w:r>
        <w:rPr>
          <w:sz w:val="16"/>
        </w:rPr>
        <w:t xml:space="preserve">  </w:t>
      </w:r>
    </w:p>
    <w:p w14:paraId="0C56529C" w14:textId="77777777" w:rsidR="00011D24" w:rsidRDefault="00BC5D66">
      <w:pPr>
        <w:spacing w:after="489" w:line="259" w:lineRule="auto"/>
        <w:ind w:left="567" w:firstLine="0"/>
      </w:pPr>
      <w:r>
        <w:rPr>
          <w:i/>
        </w:rPr>
        <w:lastRenderedPageBreak/>
        <w:t xml:space="preserve"> </w:t>
      </w:r>
    </w:p>
    <w:p w14:paraId="66ABF42D" w14:textId="77777777" w:rsidR="00011D24" w:rsidRDefault="00BC5D66">
      <w:pPr>
        <w:pStyle w:val="Heading3"/>
        <w:ind w:left="937"/>
      </w:pPr>
      <w:proofErr w:type="gramStart"/>
      <w:r>
        <w:t>2.3  Master</w:t>
      </w:r>
      <w:proofErr w:type="gramEnd"/>
      <w:r>
        <w:t xml:space="preserve"> Trading Contracts </w:t>
      </w:r>
    </w:p>
    <w:p w14:paraId="6DC34374" w14:textId="77777777" w:rsidR="00011D24" w:rsidRDefault="00BC5D66">
      <w:pPr>
        <w:ind w:left="562" w:right="12"/>
      </w:pPr>
      <w:r>
        <w:t xml:space="preserve">Legal and Contract Administration will be jointly responsible for managing the preparation, review, and distribution of Master Agreements.  </w:t>
      </w:r>
    </w:p>
    <w:p w14:paraId="76FFA290" w14:textId="77777777" w:rsidR="00011D24" w:rsidRDefault="00BC5D66">
      <w:pPr>
        <w:ind w:left="562" w:right="12"/>
      </w:pPr>
      <w:r>
        <w:t xml:space="preserve">When applicable, the appropriate standardized industry agreement will be utilized, as determined by the legal department.  </w:t>
      </w:r>
    </w:p>
    <w:p w14:paraId="480C5E08" w14:textId="77777777" w:rsidR="00011D24" w:rsidRDefault="00BC5D66">
      <w:pPr>
        <w:spacing w:after="289"/>
        <w:ind w:left="562" w:right="12"/>
      </w:pPr>
      <w:r>
        <w:t xml:space="preserve">For all documented transactions under an agreement that is not an approved Master Agreement, legal department approval of the form of the contract or confirmation is required before execution. </w:t>
      </w:r>
    </w:p>
    <w:p w14:paraId="1D802C27" w14:textId="77777777" w:rsidR="00011D24" w:rsidRDefault="00BC5D66">
      <w:pPr>
        <w:pStyle w:val="Heading2"/>
        <w:ind w:left="562"/>
      </w:pPr>
      <w:r>
        <w:t xml:space="preserve">FRONT OFFICE, MID OFFICE, AND BACK OFFICE </w:t>
      </w:r>
    </w:p>
    <w:p w14:paraId="592AA670" w14:textId="77777777" w:rsidR="00011D24" w:rsidRDefault="00BC5D66">
      <w:pPr>
        <w:ind w:left="562" w:right="12"/>
      </w:pPr>
      <w:r>
        <w:t xml:space="preserve">IHPS will maintain a system of independent checks and balances by segregating responsibilities and reporting lines with independent analysis, oversight, and reporting across business operations. </w:t>
      </w:r>
    </w:p>
    <w:p w14:paraId="54400176" w14:textId="77777777" w:rsidR="00011D24" w:rsidRDefault="00BC5D66">
      <w:pPr>
        <w:spacing w:after="270"/>
        <w:ind w:left="562" w:right="12"/>
      </w:pPr>
      <w:r>
        <w:t xml:space="preserve">Business operations will be divided into three distinct functional areas, with independent reporting lines: Front Office, Mid Office, and Back Office.  </w:t>
      </w:r>
    </w:p>
    <w:p w14:paraId="3684DF7D" w14:textId="77777777" w:rsidR="00011D24" w:rsidRDefault="00BC5D66">
      <w:pPr>
        <w:pStyle w:val="Heading3"/>
        <w:ind w:left="937"/>
      </w:pPr>
      <w:r>
        <w:t xml:space="preserve">2.4   Front Office - COO </w:t>
      </w:r>
    </w:p>
    <w:p w14:paraId="227E8D29" w14:textId="77777777" w:rsidR="00011D24" w:rsidRDefault="00BC5D66">
      <w:pPr>
        <w:spacing w:after="265"/>
        <w:ind w:left="562" w:right="12"/>
      </w:pPr>
      <w:r>
        <w:t xml:space="preserve">The Front Office is responsible for managing all energy commodities within IHPS and asset-specific transactions and market entry or disposition strategies. This includes functions performed by the COO </w:t>
      </w:r>
    </w:p>
    <w:p w14:paraId="6BFA340F" w14:textId="77777777" w:rsidR="00011D24" w:rsidRDefault="00BC5D66">
      <w:pPr>
        <w:pStyle w:val="Heading4"/>
        <w:ind w:left="1297"/>
      </w:pPr>
      <w:r>
        <w:t xml:space="preserve">2.4.1 Mid Office - CEO </w:t>
      </w:r>
    </w:p>
    <w:p w14:paraId="78AC1F4D" w14:textId="77777777" w:rsidR="00011D24" w:rsidRDefault="00BC5D66">
      <w:pPr>
        <w:ind w:left="562" w:right="12"/>
      </w:pPr>
      <w:r>
        <w:t xml:space="preserve">The Mid Office is responsible for risk oversight, including any activities involving independent valuation, reporting, compliance, and governance.  </w:t>
      </w:r>
    </w:p>
    <w:p w14:paraId="7E39D6EA" w14:textId="77777777" w:rsidR="00011D24" w:rsidRDefault="00BC5D66">
      <w:pPr>
        <w:spacing w:after="267"/>
        <w:ind w:left="562" w:right="12"/>
      </w:pPr>
      <w:r>
        <w:t xml:space="preserve">Mid Office personnel may not execute any transactions. </w:t>
      </w:r>
    </w:p>
    <w:p w14:paraId="0BF6B849" w14:textId="77777777" w:rsidR="00011D24" w:rsidRDefault="00BC5D66">
      <w:pPr>
        <w:pStyle w:val="Heading4"/>
        <w:ind w:left="1297"/>
      </w:pPr>
      <w:r>
        <w:t xml:space="preserve">2.4.2 Back Office - President </w:t>
      </w:r>
    </w:p>
    <w:p w14:paraId="130883F1" w14:textId="77777777" w:rsidR="00011D24" w:rsidRDefault="00BC5D66">
      <w:pPr>
        <w:ind w:left="562" w:right="12"/>
      </w:pPr>
      <w:r>
        <w:t xml:space="preserve">The Back Office is responsible for accounting and settlement functions related to commodity and financial accounting, transaction settlements, and external reporting. </w:t>
      </w:r>
    </w:p>
    <w:p w14:paraId="48BA699A" w14:textId="77777777" w:rsidR="00011D24" w:rsidRDefault="00BC5D66">
      <w:pPr>
        <w:ind w:left="562" w:right="12"/>
      </w:pPr>
      <w:r>
        <w:t xml:space="preserve">Back Office personnel may not execute any transactions.  </w:t>
      </w:r>
    </w:p>
    <w:p w14:paraId="32720380" w14:textId="77777777" w:rsidR="00011D24" w:rsidRDefault="00BC5D66">
      <w:pPr>
        <w:spacing w:after="220" w:line="259" w:lineRule="auto"/>
        <w:ind w:left="567" w:firstLine="0"/>
      </w:pPr>
      <w:r>
        <w:t xml:space="preserve"> </w:t>
      </w:r>
    </w:p>
    <w:p w14:paraId="3A1E4FFF" w14:textId="41146049" w:rsidR="00011D24" w:rsidRDefault="00BC5D66" w:rsidP="00F421E3">
      <w:pPr>
        <w:spacing w:after="2946" w:line="259" w:lineRule="auto"/>
        <w:ind w:left="567" w:firstLine="0"/>
      </w:pPr>
      <w:r>
        <w:t xml:space="preserve"> </w:t>
      </w:r>
      <w:r>
        <w:rPr>
          <w:sz w:val="16"/>
        </w:rPr>
        <w:t xml:space="preserve">  </w:t>
      </w:r>
    </w:p>
    <w:p w14:paraId="37EFB82A" w14:textId="77777777" w:rsidR="00011D24" w:rsidRDefault="00011D24">
      <w:pPr>
        <w:sectPr w:rsidR="00011D24">
          <w:headerReference w:type="even" r:id="rId9"/>
          <w:headerReference w:type="default" r:id="rId10"/>
          <w:footerReference w:type="even" r:id="rId11"/>
          <w:footerReference w:type="default" r:id="rId12"/>
          <w:headerReference w:type="first" r:id="rId13"/>
          <w:footerReference w:type="first" r:id="rId14"/>
          <w:pgSz w:w="12240" w:h="15840"/>
          <w:pgMar w:top="725" w:right="1345" w:bottom="720" w:left="1132" w:header="720" w:footer="720" w:gutter="0"/>
          <w:cols w:space="720"/>
          <w:titlePg/>
        </w:sectPr>
      </w:pPr>
    </w:p>
    <w:p w14:paraId="0278E486" w14:textId="77777777" w:rsidR="00011D24" w:rsidRDefault="00BC5D66">
      <w:pPr>
        <w:spacing w:after="489" w:line="259" w:lineRule="auto"/>
        <w:ind w:left="0" w:firstLine="0"/>
      </w:pPr>
      <w:r>
        <w:rPr>
          <w:i/>
        </w:rPr>
        <w:lastRenderedPageBreak/>
        <w:t xml:space="preserve"> </w:t>
      </w:r>
    </w:p>
    <w:p w14:paraId="72E3A42C" w14:textId="77777777" w:rsidR="00011D24" w:rsidRDefault="00BC5D66">
      <w:pPr>
        <w:spacing w:after="307" w:line="259" w:lineRule="auto"/>
        <w:ind w:left="1360"/>
      </w:pPr>
      <w:r>
        <w:rPr>
          <w:b/>
          <w:i/>
          <w:sz w:val="22"/>
        </w:rPr>
        <w:t xml:space="preserve">COMMODITY RISK MANAGEMENT </w:t>
      </w:r>
    </w:p>
    <w:p w14:paraId="221E0E5F" w14:textId="77777777" w:rsidR="00011D24" w:rsidRDefault="00BC5D66">
      <w:pPr>
        <w:pStyle w:val="Heading2"/>
        <w:ind w:left="562"/>
      </w:pPr>
      <w:r>
        <w:t xml:space="preserve">OVERVIEW </w:t>
      </w:r>
    </w:p>
    <w:p w14:paraId="761A0995" w14:textId="77777777" w:rsidR="00011D24" w:rsidRDefault="00BC5D66">
      <w:pPr>
        <w:spacing w:after="266"/>
        <w:ind w:left="562" w:right="12"/>
      </w:pPr>
      <w:proofErr w:type="gramStart"/>
      <w:r>
        <w:t>IHPS  will</w:t>
      </w:r>
      <w:proofErr w:type="gramEnd"/>
      <w:r>
        <w:t xml:space="preserve"> manage the company's Commodity Risk, Interest Rate Risk, and Currency Risk Exposure by:  </w:t>
      </w:r>
    </w:p>
    <w:p w14:paraId="5FEE865F" w14:textId="77777777" w:rsidR="00011D24" w:rsidRDefault="00BC5D66">
      <w:pPr>
        <w:numPr>
          <w:ilvl w:val="0"/>
          <w:numId w:val="6"/>
        </w:numPr>
        <w:ind w:right="12" w:hanging="360"/>
      </w:pPr>
      <w:r>
        <w:t xml:space="preserve">Managing the Portfolio through Hedging and Portfolio </w:t>
      </w:r>
      <w:proofErr w:type="gramStart"/>
      <w:r>
        <w:t>optimization;</w:t>
      </w:r>
      <w:proofErr w:type="gramEnd"/>
      <w:r>
        <w:t xml:space="preserve">  </w:t>
      </w:r>
    </w:p>
    <w:p w14:paraId="5CA5E46B" w14:textId="77777777" w:rsidR="00011D24" w:rsidRDefault="00BC5D66">
      <w:pPr>
        <w:numPr>
          <w:ilvl w:val="0"/>
          <w:numId w:val="6"/>
        </w:numPr>
        <w:ind w:right="12" w:hanging="360"/>
      </w:pPr>
      <w:r>
        <w:t>Marketing Structured Products (Origination</w:t>
      </w:r>
      <w:proofErr w:type="gramStart"/>
      <w:r>
        <w:t>);</w:t>
      </w:r>
      <w:proofErr w:type="gramEnd"/>
      <w:r>
        <w:t xml:space="preserve">  </w:t>
      </w:r>
    </w:p>
    <w:p w14:paraId="6338CB04" w14:textId="77777777" w:rsidR="00011D24" w:rsidRDefault="00BC5D66">
      <w:pPr>
        <w:numPr>
          <w:ilvl w:val="0"/>
          <w:numId w:val="6"/>
        </w:numPr>
        <w:spacing w:after="253"/>
        <w:ind w:right="12" w:hanging="360"/>
      </w:pPr>
      <w:r>
        <w:t xml:space="preserve">Scheduling, dispatch, and fuel supply management with the ISO </w:t>
      </w:r>
    </w:p>
    <w:p w14:paraId="14D132BF" w14:textId="77777777" w:rsidR="00011D24" w:rsidRDefault="00BC5D66">
      <w:pPr>
        <w:pStyle w:val="Heading2"/>
        <w:ind w:left="562"/>
      </w:pPr>
      <w:r>
        <w:t xml:space="preserve">PORTFOLIO MANAGEMENT </w:t>
      </w:r>
    </w:p>
    <w:p w14:paraId="38947825" w14:textId="77777777" w:rsidR="00011D24" w:rsidRDefault="00BC5D66">
      <w:pPr>
        <w:ind w:left="562" w:right="12"/>
      </w:pPr>
      <w:r>
        <w:t xml:space="preserve">IHPS will centralize all Commodity Activities and Commodity Risk Exposure.  </w:t>
      </w:r>
    </w:p>
    <w:p w14:paraId="32D1E41B" w14:textId="77777777" w:rsidR="00011D24" w:rsidRDefault="00BC5D66">
      <w:pPr>
        <w:spacing w:after="267"/>
        <w:ind w:left="562" w:right="12"/>
      </w:pPr>
      <w:r>
        <w:t xml:space="preserve">The Portfolio will be managed within the guidelines of the Policy.  </w:t>
      </w:r>
    </w:p>
    <w:p w14:paraId="3928B048" w14:textId="77777777" w:rsidR="00011D24" w:rsidRDefault="00BC5D66">
      <w:pPr>
        <w:pStyle w:val="Heading3"/>
        <w:tabs>
          <w:tab w:val="center" w:pos="1111"/>
          <w:tab w:val="center" w:pos="4005"/>
        </w:tabs>
        <w:ind w:left="0" w:firstLine="0"/>
      </w:pPr>
      <w:r>
        <w:rPr>
          <w:rFonts w:ascii="Calibri" w:eastAsia="Calibri" w:hAnsi="Calibri" w:cs="Calibri"/>
          <w:b w:val="0"/>
        </w:rPr>
        <w:tab/>
      </w:r>
      <w:r>
        <w:t xml:space="preserve">3..1 </w:t>
      </w:r>
      <w:r>
        <w:tab/>
        <w:t xml:space="preserve">Portfolio Structure for Energy Commodities </w:t>
      </w:r>
    </w:p>
    <w:p w14:paraId="465F0EFE" w14:textId="77777777" w:rsidR="006B71DA" w:rsidRDefault="00BC5D66">
      <w:pPr>
        <w:spacing w:after="275"/>
        <w:ind w:left="562" w:right="12"/>
      </w:pPr>
      <w:r>
        <w:t>Risk Management for energy commodities, a portfolio will be established for all electric power positions, inclusive of all 3</w:t>
      </w:r>
      <w:r>
        <w:rPr>
          <w:vertAlign w:val="superscript"/>
        </w:rPr>
        <w:t>rd</w:t>
      </w:r>
      <w:r>
        <w:t xml:space="preserve"> party transactions for portfolio hedging and optimization activities. </w:t>
      </w:r>
    </w:p>
    <w:p w14:paraId="68FF9724" w14:textId="6D4E70EB" w:rsidR="00011D24" w:rsidRPr="006D7E2F" w:rsidRDefault="006B71DA">
      <w:pPr>
        <w:spacing w:after="275"/>
        <w:ind w:left="562" w:right="12"/>
        <w:rPr>
          <w:color w:val="000000" w:themeColor="text1"/>
        </w:rPr>
      </w:pPr>
      <w:r w:rsidRPr="006D7E2F">
        <w:rPr>
          <w:color w:val="000000" w:themeColor="text1"/>
        </w:rPr>
        <w:t>REC AND ANCILLARY exposure will be monitored and actively hedged within the portfolio as liquidity and position</w:t>
      </w:r>
      <w:r w:rsidR="006F35B6" w:rsidRPr="006D7E2F">
        <w:rPr>
          <w:color w:val="000000" w:themeColor="text1"/>
        </w:rPr>
        <w:t xml:space="preserve"> requirements</w:t>
      </w:r>
      <w:r w:rsidRPr="006D7E2F">
        <w:rPr>
          <w:color w:val="000000" w:themeColor="text1"/>
        </w:rPr>
        <w:t xml:space="preserve"> present itself. </w:t>
      </w:r>
      <w:r w:rsidR="00BC5D66" w:rsidRPr="006D7E2F">
        <w:rPr>
          <w:color w:val="000000" w:themeColor="text1"/>
        </w:rPr>
        <w:t xml:space="preserve"> </w:t>
      </w:r>
    </w:p>
    <w:p w14:paraId="305629E1" w14:textId="77777777" w:rsidR="00011D24" w:rsidRPr="006D7E2F" w:rsidRDefault="00BC5D66">
      <w:pPr>
        <w:pStyle w:val="Heading3"/>
        <w:tabs>
          <w:tab w:val="center" w:pos="1111"/>
          <w:tab w:val="center" w:pos="4250"/>
        </w:tabs>
        <w:ind w:left="0" w:firstLine="0"/>
        <w:rPr>
          <w:color w:val="000000" w:themeColor="text1"/>
        </w:rPr>
      </w:pPr>
      <w:r w:rsidRPr="006D7E2F">
        <w:rPr>
          <w:rFonts w:ascii="Calibri" w:eastAsia="Calibri" w:hAnsi="Calibri" w:cs="Calibri"/>
          <w:b w:val="0"/>
          <w:color w:val="000000" w:themeColor="text1"/>
        </w:rPr>
        <w:tab/>
      </w:r>
      <w:r w:rsidRPr="006D7E2F">
        <w:rPr>
          <w:color w:val="000000" w:themeColor="text1"/>
        </w:rPr>
        <w:t xml:space="preserve">3..2 </w:t>
      </w:r>
      <w:r w:rsidRPr="006D7E2F">
        <w:rPr>
          <w:color w:val="000000" w:themeColor="text1"/>
        </w:rPr>
        <w:tab/>
        <w:t xml:space="preserve">Managing Portfolio Risk of Energy Commodities </w:t>
      </w:r>
    </w:p>
    <w:p w14:paraId="7491627E" w14:textId="011A806A" w:rsidR="00011D24" w:rsidRPr="006D7E2F" w:rsidRDefault="00BC5D66" w:rsidP="003D6726">
      <w:pPr>
        <w:pStyle w:val="ListParagraph"/>
        <w:numPr>
          <w:ilvl w:val="0"/>
          <w:numId w:val="14"/>
        </w:numPr>
        <w:spacing w:after="6109"/>
        <w:ind w:right="12"/>
        <w:rPr>
          <w:color w:val="000000" w:themeColor="text1"/>
        </w:rPr>
      </w:pPr>
      <w:r w:rsidRPr="006D7E2F">
        <w:rPr>
          <w:color w:val="000000" w:themeColor="text1"/>
        </w:rPr>
        <w:t>The Front Office will manage all portfolios within the framework of the Policy</w:t>
      </w:r>
      <w:r w:rsidR="003D6726" w:rsidRPr="006D7E2F">
        <w:rPr>
          <w:color w:val="000000" w:themeColor="text1"/>
        </w:rPr>
        <w:t xml:space="preserve"> with proper oversight by the Risk Organization.</w:t>
      </w:r>
    </w:p>
    <w:p w14:paraId="6199CD77" w14:textId="76535B5D" w:rsidR="00EE003E" w:rsidRPr="006D7E2F" w:rsidRDefault="003D6726" w:rsidP="003D6726">
      <w:pPr>
        <w:pStyle w:val="ListParagraph"/>
        <w:numPr>
          <w:ilvl w:val="0"/>
          <w:numId w:val="14"/>
        </w:numPr>
        <w:spacing w:after="6109"/>
        <w:ind w:right="12"/>
        <w:rPr>
          <w:color w:val="000000" w:themeColor="text1"/>
        </w:rPr>
      </w:pPr>
      <w:r w:rsidRPr="006D7E2F">
        <w:rPr>
          <w:color w:val="000000" w:themeColor="text1"/>
        </w:rPr>
        <w:t>In order to minimize</w:t>
      </w:r>
      <w:r w:rsidR="00EE003E" w:rsidRPr="006D7E2F">
        <w:rPr>
          <w:color w:val="000000" w:themeColor="text1"/>
        </w:rPr>
        <w:t xml:space="preserve"> </w:t>
      </w:r>
      <w:r w:rsidRPr="006D7E2F">
        <w:rPr>
          <w:color w:val="000000" w:themeColor="text1"/>
        </w:rPr>
        <w:t>our basis delivery risk exposure</w:t>
      </w:r>
      <w:r w:rsidR="00835F93" w:rsidRPr="006D7E2F">
        <w:rPr>
          <w:color w:val="000000" w:themeColor="text1"/>
        </w:rPr>
        <w:t>, a</w:t>
      </w:r>
      <w:r w:rsidRPr="006D7E2F">
        <w:rPr>
          <w:color w:val="000000" w:themeColor="text1"/>
        </w:rPr>
        <w:t>ll retail pricing and hedging activity will be matched and performed at the ERCOT Load Zone</w:t>
      </w:r>
      <w:r w:rsidR="00EE003E" w:rsidRPr="006D7E2F">
        <w:rPr>
          <w:color w:val="000000" w:themeColor="text1"/>
        </w:rPr>
        <w:t xml:space="preserve">.  </w:t>
      </w:r>
    </w:p>
    <w:p w14:paraId="70BD2019" w14:textId="7DC303E1" w:rsidR="003D6726" w:rsidRPr="006D7E2F" w:rsidRDefault="00EE003E" w:rsidP="003D6726">
      <w:pPr>
        <w:pStyle w:val="ListParagraph"/>
        <w:numPr>
          <w:ilvl w:val="0"/>
          <w:numId w:val="14"/>
        </w:numPr>
        <w:spacing w:after="6109"/>
        <w:ind w:right="12"/>
        <w:rPr>
          <w:color w:val="000000" w:themeColor="text1"/>
        </w:rPr>
      </w:pPr>
      <w:r w:rsidRPr="006D7E2F">
        <w:rPr>
          <w:color w:val="000000" w:themeColor="text1"/>
        </w:rPr>
        <w:t xml:space="preserve">Any Hub transaction request by a prospective customer must be approved from members of </w:t>
      </w:r>
      <w:r w:rsidR="003D6726" w:rsidRPr="006D7E2F">
        <w:rPr>
          <w:color w:val="000000" w:themeColor="text1"/>
        </w:rPr>
        <w:t xml:space="preserve">the RMC </w:t>
      </w:r>
      <w:r w:rsidR="003A67C0" w:rsidRPr="006D7E2F">
        <w:rPr>
          <w:color w:val="000000" w:themeColor="text1"/>
        </w:rPr>
        <w:t>as an exception to the rule and have protective language in our commercial agreement. Any exception  position incurred are r</w:t>
      </w:r>
      <w:r w:rsidR="003D6726" w:rsidRPr="006D7E2F">
        <w:rPr>
          <w:color w:val="000000" w:themeColor="text1"/>
        </w:rPr>
        <w:t xml:space="preserve">eported separately to the Shell team </w:t>
      </w:r>
      <w:r w:rsidR="003A67C0" w:rsidRPr="006D7E2F">
        <w:rPr>
          <w:color w:val="000000" w:themeColor="text1"/>
        </w:rPr>
        <w:t xml:space="preserve">at all times. </w:t>
      </w:r>
    </w:p>
    <w:p w14:paraId="79C5F5E3" w14:textId="2293CF38" w:rsidR="00011D24" w:rsidRDefault="00011D24">
      <w:pPr>
        <w:spacing w:after="489" w:line="259" w:lineRule="auto"/>
        <w:ind w:left="0" w:firstLine="0"/>
      </w:pPr>
    </w:p>
    <w:p w14:paraId="3A77066B" w14:textId="77777777" w:rsidR="00011D24" w:rsidRDefault="00BC5D66">
      <w:pPr>
        <w:spacing w:after="307" w:line="259" w:lineRule="auto"/>
        <w:ind w:left="1360"/>
      </w:pPr>
      <w:r>
        <w:rPr>
          <w:b/>
          <w:i/>
          <w:sz w:val="22"/>
        </w:rPr>
        <w:t xml:space="preserve">COUNTERPARTY CREDIT RISK MANAGEMENT </w:t>
      </w:r>
    </w:p>
    <w:p w14:paraId="033E0194" w14:textId="77777777" w:rsidR="00011D24" w:rsidRDefault="00BC5D66">
      <w:pPr>
        <w:pStyle w:val="Heading2"/>
        <w:ind w:left="562"/>
      </w:pPr>
      <w:r>
        <w:t xml:space="preserve">OVERVIEW </w:t>
      </w:r>
    </w:p>
    <w:p w14:paraId="7CCF41E9" w14:textId="77777777" w:rsidR="00011D24" w:rsidRDefault="00BC5D66">
      <w:pPr>
        <w:spacing w:after="289"/>
        <w:ind w:left="562" w:right="12"/>
      </w:pPr>
      <w:r>
        <w:t xml:space="preserve">Counterparty Credit Risk is inherent in IHPS Activities. IHPS is committed to receiving the credit sleeve approval before physical, financial trades are </w:t>
      </w:r>
      <w:proofErr w:type="gramStart"/>
      <w:r>
        <w:t>entered into</w:t>
      </w:r>
      <w:proofErr w:type="gramEnd"/>
      <w:r>
        <w:t xml:space="preserve">. </w:t>
      </w:r>
    </w:p>
    <w:p w14:paraId="36207BDD" w14:textId="77777777" w:rsidR="00011D24" w:rsidRDefault="00BC5D66">
      <w:pPr>
        <w:pStyle w:val="Heading2"/>
        <w:ind w:left="562"/>
      </w:pPr>
      <w:r>
        <w:t xml:space="preserve">CREDIT EXPOSURE </w:t>
      </w:r>
    </w:p>
    <w:p w14:paraId="173C8D34" w14:textId="77777777" w:rsidR="00011D24" w:rsidRDefault="00BC5D66">
      <w:pPr>
        <w:spacing w:after="289"/>
        <w:ind w:left="562" w:right="12"/>
      </w:pPr>
      <w:r>
        <w:t xml:space="preserve">IHPS will monitor counterparty Credit Exposure daily and report counterparty Credit Exposure to the RMC on an as-needed basis, but no less frequently than quarterly. </w:t>
      </w:r>
    </w:p>
    <w:p w14:paraId="0901B50C" w14:textId="77777777" w:rsidR="00011D24" w:rsidRDefault="00BC5D66">
      <w:pPr>
        <w:pStyle w:val="Heading2"/>
        <w:ind w:left="562"/>
      </w:pPr>
      <w:r>
        <w:t xml:space="preserve">TRANSACTION RESPONSIBILITIES </w:t>
      </w:r>
    </w:p>
    <w:p w14:paraId="218B46D5" w14:textId="77777777" w:rsidR="00011D24" w:rsidRDefault="00BC5D66">
      <w:pPr>
        <w:spacing w:after="289"/>
        <w:ind w:left="562" w:right="12"/>
      </w:pPr>
      <w:r>
        <w:t xml:space="preserve">Credit personnel are responsible for reviewing counterparty Credit Exposure, proposed transactions, and managing the Authorized Trade List, as appropriate.  The Front Office is responsible for confirming that all transactions conform to the Authorized Trade List or are otherwise approved by Credit before transacting. </w:t>
      </w:r>
    </w:p>
    <w:p w14:paraId="77291911" w14:textId="77777777" w:rsidR="00011D24" w:rsidRDefault="00BC5D66">
      <w:pPr>
        <w:pStyle w:val="Heading2"/>
        <w:ind w:left="562"/>
      </w:pPr>
      <w:r>
        <w:t xml:space="preserve">CONTRACTUAL CREDIT TERMS </w:t>
      </w:r>
    </w:p>
    <w:p w14:paraId="186A7D0B" w14:textId="160B2601" w:rsidR="00835F93" w:rsidRPr="00835F93" w:rsidRDefault="00BC5D66" w:rsidP="00835F93">
      <w:pPr>
        <w:ind w:left="562" w:right="12"/>
      </w:pPr>
      <w:r>
        <w:t xml:space="preserve">Credit is required to approve all credit terms included in all commodity contracts, including but not limited to Master Agreements </w:t>
      </w:r>
    </w:p>
    <w:p w14:paraId="5A00F6E0" w14:textId="77777777" w:rsidR="00835F93" w:rsidRDefault="00835F93" w:rsidP="00835F93">
      <w:pPr>
        <w:pStyle w:val="Heading2"/>
        <w:ind w:left="562"/>
      </w:pPr>
      <w:r>
        <w:t xml:space="preserve">GENERAL OVERVIEW – Customer Pre-Enrolment </w:t>
      </w:r>
    </w:p>
    <w:p w14:paraId="720BD32D" w14:textId="77777777" w:rsidR="00835F93" w:rsidRDefault="00835F93" w:rsidP="00835F93">
      <w:pPr>
        <w:spacing w:after="289"/>
        <w:ind w:left="562" w:right="12"/>
      </w:pPr>
      <w:r>
        <w:t xml:space="preserve">Credit Risk management is inherent as part of the business for a retail energy provider. The Ironhorse Power Services (IHPS) team are committed to proactive monitoring while protecting our investors from large inordinate exposure at any given time. </w:t>
      </w:r>
    </w:p>
    <w:p w14:paraId="4AB16374" w14:textId="77777777" w:rsidR="00835F93" w:rsidRDefault="00835F93" w:rsidP="00835F93">
      <w:pPr>
        <w:pStyle w:val="ListParagraph"/>
        <w:numPr>
          <w:ilvl w:val="0"/>
          <w:numId w:val="16"/>
        </w:numPr>
        <w:spacing w:after="289" w:line="240" w:lineRule="auto"/>
        <w:ind w:right="12"/>
      </w:pPr>
      <w:r>
        <w:t xml:space="preserve">All sales activity is mandated to receive an individual customer credit approval before any sale agreement or trade transaction are initiated.  </w:t>
      </w:r>
    </w:p>
    <w:p w14:paraId="12412798" w14:textId="77777777" w:rsidR="00835F93" w:rsidRDefault="00835F93" w:rsidP="00835F93">
      <w:pPr>
        <w:pStyle w:val="ListParagraph"/>
        <w:numPr>
          <w:ilvl w:val="0"/>
          <w:numId w:val="15"/>
        </w:numPr>
        <w:spacing w:after="289" w:line="240" w:lineRule="auto"/>
        <w:ind w:right="12"/>
      </w:pPr>
      <w:r>
        <w:t>IHPS operations and enrolment team are responsible for managing the credit review process, while reviewing the credit worthiness of each prospective customer.</w:t>
      </w:r>
    </w:p>
    <w:p w14:paraId="6898AC83" w14:textId="77777777" w:rsidR="00835F93" w:rsidRDefault="00835F93" w:rsidP="00835F93">
      <w:pPr>
        <w:pStyle w:val="ListParagraph"/>
        <w:numPr>
          <w:ilvl w:val="0"/>
          <w:numId w:val="15"/>
        </w:numPr>
        <w:spacing w:after="289" w:line="240" w:lineRule="auto"/>
        <w:ind w:right="12"/>
      </w:pPr>
      <w:r>
        <w:t xml:space="preserve">The Front Office or sales team are responsible for obtaining all the basic </w:t>
      </w:r>
      <w:proofErr w:type="gramStart"/>
      <w:r>
        <w:t>information  for</w:t>
      </w:r>
      <w:proofErr w:type="gramEnd"/>
      <w:r>
        <w:t xml:space="preserve">  proper evaluation purposes to obtain credit approval.</w:t>
      </w:r>
    </w:p>
    <w:p w14:paraId="441F0391" w14:textId="77777777" w:rsidR="00835F93" w:rsidRDefault="00835F93" w:rsidP="00835F93">
      <w:pPr>
        <w:pStyle w:val="ListParagraph"/>
        <w:numPr>
          <w:ilvl w:val="0"/>
          <w:numId w:val="15"/>
        </w:numPr>
        <w:spacing w:after="289" w:line="240" w:lineRule="auto"/>
        <w:ind w:right="12"/>
      </w:pPr>
      <w:r>
        <w:t xml:space="preserve"> IHPS enrolment team will manage the credit pass/fail and ID verification process with oversight provided by the COO. (Process flow chart - attached). </w:t>
      </w:r>
    </w:p>
    <w:p w14:paraId="74D8B3AE" w14:textId="77777777" w:rsidR="00835F93" w:rsidRDefault="00835F93" w:rsidP="00835F93">
      <w:pPr>
        <w:pStyle w:val="ListParagraph"/>
        <w:numPr>
          <w:ilvl w:val="0"/>
          <w:numId w:val="15"/>
        </w:numPr>
        <w:spacing w:after="289" w:line="240" w:lineRule="auto"/>
        <w:ind w:right="12"/>
      </w:pPr>
      <w:r>
        <w:t>IHPS will outsource services through external agencies to provide the following:</w:t>
      </w:r>
    </w:p>
    <w:p w14:paraId="38720A87" w14:textId="77777777" w:rsidR="00835F93" w:rsidRDefault="00835F93" w:rsidP="00835F93">
      <w:pPr>
        <w:pStyle w:val="ListParagraph"/>
        <w:numPr>
          <w:ilvl w:val="1"/>
          <w:numId w:val="15"/>
        </w:numPr>
        <w:spacing w:after="289" w:line="240" w:lineRule="auto"/>
        <w:ind w:right="12"/>
      </w:pPr>
      <w:r>
        <w:t>FICO score, American credit systems</w:t>
      </w:r>
    </w:p>
    <w:p w14:paraId="0A0AC1AD" w14:textId="77777777" w:rsidR="00835F93" w:rsidRDefault="00835F93" w:rsidP="00835F93">
      <w:pPr>
        <w:pStyle w:val="ListParagraph"/>
        <w:numPr>
          <w:ilvl w:val="1"/>
          <w:numId w:val="15"/>
        </w:numPr>
        <w:spacing w:after="289" w:line="240" w:lineRule="auto"/>
        <w:ind w:right="12"/>
      </w:pPr>
      <w:r>
        <w:t>ID verification platform</w:t>
      </w:r>
    </w:p>
    <w:p w14:paraId="59B4BB26" w14:textId="77777777" w:rsidR="00835F93" w:rsidRDefault="00835F93" w:rsidP="00835F93">
      <w:pPr>
        <w:pStyle w:val="ListParagraph"/>
        <w:numPr>
          <w:ilvl w:val="1"/>
          <w:numId w:val="15"/>
        </w:numPr>
        <w:spacing w:after="289" w:line="240" w:lineRule="auto"/>
        <w:ind w:right="12"/>
      </w:pPr>
      <w:r>
        <w:t>D&amp;B credit scores</w:t>
      </w:r>
    </w:p>
    <w:p w14:paraId="057C8E94" w14:textId="77777777" w:rsidR="00835F93" w:rsidRDefault="00835F93" w:rsidP="00835F93">
      <w:pPr>
        <w:pStyle w:val="ListParagraph"/>
        <w:numPr>
          <w:ilvl w:val="0"/>
          <w:numId w:val="15"/>
        </w:numPr>
        <w:spacing w:after="289" w:line="240" w:lineRule="auto"/>
        <w:ind w:right="12"/>
      </w:pPr>
      <w:r>
        <w:t>Evaluations are performed on a pass/ fail basis. IHPS will reject any enrollment from non to poor credit level customers. We will not accept prepayments or deposits from prospective customers.</w:t>
      </w:r>
    </w:p>
    <w:p w14:paraId="16767B37" w14:textId="77777777" w:rsidR="00835F93" w:rsidRDefault="00835F93" w:rsidP="00835F93">
      <w:pPr>
        <w:pStyle w:val="ListParagraph"/>
        <w:numPr>
          <w:ilvl w:val="0"/>
          <w:numId w:val="15"/>
        </w:numPr>
        <w:spacing w:after="289" w:line="240" w:lineRule="auto"/>
        <w:ind w:right="12"/>
      </w:pPr>
      <w:r>
        <w:t xml:space="preserve">A poor or non-rated prospect will require an over-ride release from the Sr. Leadership team (CEO, President, COO) in order to move forward as </w:t>
      </w:r>
      <w:proofErr w:type="spellStart"/>
      <w:proofErr w:type="gramStart"/>
      <w:r>
        <w:t>a</w:t>
      </w:r>
      <w:proofErr w:type="spellEnd"/>
      <w:proofErr w:type="gramEnd"/>
      <w:r>
        <w:t xml:space="preserve"> enrolment.</w:t>
      </w:r>
    </w:p>
    <w:p w14:paraId="0B955CF2" w14:textId="62CF778E" w:rsidR="00835F93" w:rsidRPr="006D427F" w:rsidRDefault="00835F93" w:rsidP="00835F93">
      <w:pPr>
        <w:pStyle w:val="ListParagraph"/>
        <w:numPr>
          <w:ilvl w:val="0"/>
          <w:numId w:val="15"/>
        </w:numPr>
        <w:spacing w:after="289" w:line="240" w:lineRule="auto"/>
        <w:ind w:right="12"/>
      </w:pPr>
      <w:r>
        <w:t xml:space="preserve">IHPS Risk team will monitor the overall counterparty and customer Credit Exposure daily and report counterparty Credit Exposure to the RMC on an as-needed basis, but no less frequently than quarterly. </w:t>
      </w:r>
    </w:p>
    <w:p w14:paraId="7C1B5FF1" w14:textId="77777777" w:rsidR="00835F93" w:rsidRDefault="00835F93" w:rsidP="00835F93">
      <w:pPr>
        <w:pStyle w:val="Heading2"/>
        <w:ind w:left="562"/>
      </w:pPr>
    </w:p>
    <w:p w14:paraId="413C8AF3" w14:textId="77777777" w:rsidR="00835F93" w:rsidRDefault="00835F93" w:rsidP="00835F93">
      <w:pPr>
        <w:pStyle w:val="Heading2"/>
        <w:ind w:left="562"/>
      </w:pPr>
      <w:r>
        <w:t>Credit Operating- Monitoring Process</w:t>
      </w:r>
    </w:p>
    <w:p w14:paraId="4AAB636B" w14:textId="77777777" w:rsidR="00835F93" w:rsidRDefault="00835F93" w:rsidP="00835F93">
      <w:pPr>
        <w:ind w:left="720"/>
      </w:pPr>
      <w:r>
        <w:t xml:space="preserve">IHPS standard operating procedures will include proactive monitoring and reporting of any existing credit risk exposure.  We will provide an internal rating scale to reflect the ongoing credit quality of each customer on a go forward basis. The scoring reflects the results of a timely payment history and length of service as a client.  This will isolate the trouble accounts into grouping (4&amp;5) and allow the IHPS team to focus efforts directly. This will improve communication between front – middle, and back offices on the collections effort and will result in the mitigation of losses and bad debt write offs. </w:t>
      </w:r>
    </w:p>
    <w:p w14:paraId="2C11E33A" w14:textId="77777777" w:rsidR="00835F93" w:rsidRDefault="00835F93" w:rsidP="00835F93">
      <w:pPr>
        <w:ind w:left="720"/>
      </w:pPr>
    </w:p>
    <w:p w14:paraId="4546FC5D" w14:textId="77777777" w:rsidR="00835F93" w:rsidRDefault="00835F93" w:rsidP="00835F93">
      <w:pPr>
        <w:pStyle w:val="ListParagraph"/>
        <w:numPr>
          <w:ilvl w:val="0"/>
          <w:numId w:val="16"/>
        </w:numPr>
        <w:spacing w:after="289" w:line="240" w:lineRule="auto"/>
        <w:ind w:right="12"/>
      </w:pPr>
      <w:r>
        <w:t xml:space="preserve">All successful closed sale transactions will receive an internal score ranging from 1 – excellent to 5 – poor (over-ride) or delinquent accounts. </w:t>
      </w:r>
    </w:p>
    <w:p w14:paraId="4F4C62E3" w14:textId="77777777" w:rsidR="00835F93" w:rsidRDefault="00835F93" w:rsidP="00835F93">
      <w:pPr>
        <w:pStyle w:val="ListParagraph"/>
        <w:numPr>
          <w:ilvl w:val="0"/>
          <w:numId w:val="16"/>
        </w:numPr>
        <w:spacing w:after="289" w:line="240" w:lineRule="auto"/>
        <w:ind w:right="12"/>
      </w:pPr>
      <w:r>
        <w:t xml:space="preserve">Accounts ratings will be evaluated and awarded based on their active payment history and time length as a paying customer with IHPS.  </w:t>
      </w:r>
    </w:p>
    <w:p w14:paraId="407A75E8" w14:textId="77777777" w:rsidR="00835F93" w:rsidRDefault="00835F93" w:rsidP="00835F93">
      <w:pPr>
        <w:pStyle w:val="ListParagraph"/>
        <w:numPr>
          <w:ilvl w:val="0"/>
          <w:numId w:val="15"/>
        </w:numPr>
        <w:spacing w:after="289" w:line="240" w:lineRule="auto"/>
        <w:ind w:right="12"/>
      </w:pPr>
      <w:r>
        <w:t xml:space="preserve">Weekly proactive monitoring </w:t>
      </w:r>
      <w:proofErr w:type="gramStart"/>
      <w:r>
        <w:t>are</w:t>
      </w:r>
      <w:proofErr w:type="gramEnd"/>
      <w:r>
        <w:t xml:space="preserve"> given to accounts rated 4 to 5 which are expected to be less than three percent of our overall account receivable balances. The isolation will insure all internal and external collection efforts (as needed) are coordinated and implemented </w:t>
      </w:r>
      <w:proofErr w:type="gramStart"/>
      <w:r>
        <w:t>correctly .</w:t>
      </w:r>
      <w:proofErr w:type="gramEnd"/>
      <w:r>
        <w:t xml:space="preserve"> </w:t>
      </w:r>
    </w:p>
    <w:p w14:paraId="350A1E26" w14:textId="77777777" w:rsidR="00835F93" w:rsidRDefault="00835F93" w:rsidP="00835F93">
      <w:pPr>
        <w:pStyle w:val="ListParagraph"/>
        <w:numPr>
          <w:ilvl w:val="0"/>
          <w:numId w:val="15"/>
        </w:numPr>
        <w:spacing w:after="289" w:line="240" w:lineRule="auto"/>
        <w:ind w:right="12"/>
      </w:pPr>
      <w:r>
        <w:t xml:space="preserve">IHPS Risk team oversees and </w:t>
      </w:r>
      <w:proofErr w:type="gramStart"/>
      <w:r>
        <w:t>monitors  all</w:t>
      </w:r>
      <w:proofErr w:type="gramEnd"/>
      <w:r>
        <w:t xml:space="preserve"> past due receivable reporting  generated from the ECI billing - operations and accounting team on a consistent basis. </w:t>
      </w:r>
    </w:p>
    <w:p w14:paraId="60335B9D" w14:textId="77777777" w:rsidR="00835F93" w:rsidRDefault="00835F93" w:rsidP="00835F93">
      <w:pPr>
        <w:pStyle w:val="ListParagraph"/>
        <w:numPr>
          <w:ilvl w:val="0"/>
          <w:numId w:val="15"/>
        </w:numPr>
        <w:spacing w:after="289" w:line="240" w:lineRule="auto"/>
        <w:ind w:right="12"/>
      </w:pPr>
      <w:r>
        <w:t xml:space="preserve">Customer care will contact clients that are past due with a cutoff notice 15 days after the initial due date.  The actual cutoff of service date will be 25 days </w:t>
      </w:r>
      <w:proofErr w:type="gramStart"/>
      <w:r>
        <w:t>total  from</w:t>
      </w:r>
      <w:proofErr w:type="gramEnd"/>
      <w:r>
        <w:t xml:space="preserve"> the past due date.</w:t>
      </w:r>
    </w:p>
    <w:p w14:paraId="2D4E7EA3" w14:textId="77777777" w:rsidR="00835F93" w:rsidRDefault="00835F93" w:rsidP="00835F93">
      <w:pPr>
        <w:pStyle w:val="ListParagraph"/>
        <w:numPr>
          <w:ilvl w:val="0"/>
          <w:numId w:val="15"/>
        </w:numPr>
        <w:spacing w:after="289" w:line="240" w:lineRule="auto"/>
        <w:ind w:right="12"/>
      </w:pPr>
      <w:r>
        <w:t xml:space="preserve">IHPS will outsource external collection efforts for accounts that are past due more than 25 days total past due and cut-off of service has been activated. </w:t>
      </w:r>
    </w:p>
    <w:p w14:paraId="375CFC92" w14:textId="77777777" w:rsidR="00835F93" w:rsidRDefault="00835F93" w:rsidP="00835F93">
      <w:pPr>
        <w:pStyle w:val="Heading2"/>
        <w:ind w:left="562"/>
      </w:pPr>
    </w:p>
    <w:p w14:paraId="05524037" w14:textId="77777777" w:rsidR="00835F93" w:rsidRDefault="00835F93" w:rsidP="00835F93">
      <w:pPr>
        <w:pStyle w:val="Heading2"/>
        <w:ind w:left="562"/>
      </w:pPr>
      <w:r>
        <w:t>Disconnection Monitoring – Notice Process</w:t>
      </w:r>
    </w:p>
    <w:p w14:paraId="3F7622EC" w14:textId="77777777" w:rsidR="00835F93" w:rsidRDefault="00835F93" w:rsidP="00835F93">
      <w:pPr>
        <w:spacing w:after="289"/>
        <w:ind w:left="562" w:right="12"/>
      </w:pPr>
      <w:r>
        <w:t xml:space="preserve">In connection to Texas PUC rules and regulations governing retail </w:t>
      </w:r>
      <w:proofErr w:type="gramStart"/>
      <w:r>
        <w:t>operations,  IHPS</w:t>
      </w:r>
      <w:proofErr w:type="gramEnd"/>
      <w:r>
        <w:t xml:space="preserve"> will discontinue, suspend or refuse service to any customer for the following reasons:</w:t>
      </w:r>
    </w:p>
    <w:p w14:paraId="32268044" w14:textId="77777777" w:rsidR="00835F93" w:rsidRDefault="00835F93" w:rsidP="00835F93">
      <w:pPr>
        <w:pStyle w:val="ListParagraph"/>
        <w:numPr>
          <w:ilvl w:val="0"/>
          <w:numId w:val="17"/>
        </w:numPr>
        <w:spacing w:after="289" w:line="240" w:lineRule="auto"/>
        <w:ind w:right="12"/>
      </w:pPr>
      <w:r>
        <w:t>Failure to pay a bill for electric service.</w:t>
      </w:r>
    </w:p>
    <w:p w14:paraId="0A1383F4" w14:textId="77777777" w:rsidR="00835F93" w:rsidRDefault="00835F93" w:rsidP="00835F93">
      <w:pPr>
        <w:pStyle w:val="ListParagraph"/>
        <w:numPr>
          <w:ilvl w:val="0"/>
          <w:numId w:val="17"/>
        </w:numPr>
        <w:spacing w:after="289" w:line="240" w:lineRule="auto"/>
        <w:ind w:right="12"/>
      </w:pPr>
      <w:r>
        <w:t>Failure to comply with terms of any agreed to payment plan.</w:t>
      </w:r>
    </w:p>
    <w:p w14:paraId="29B9D38D" w14:textId="77777777" w:rsidR="00835F93" w:rsidRPr="00717EF1" w:rsidRDefault="00835F93" w:rsidP="00835F93">
      <w:pPr>
        <w:pStyle w:val="ListParagraph"/>
        <w:numPr>
          <w:ilvl w:val="0"/>
          <w:numId w:val="17"/>
        </w:numPr>
        <w:spacing w:after="289" w:line="240" w:lineRule="auto"/>
        <w:ind w:right="12"/>
        <w:rPr>
          <w:b/>
          <w:bCs/>
          <w:sz w:val="32"/>
          <w:szCs w:val="32"/>
          <w:u w:val="single"/>
        </w:rPr>
      </w:pPr>
      <w:r>
        <w:t>For any other reason whereby IHPS is legally entitled to disconnect service with notice</w:t>
      </w:r>
    </w:p>
    <w:p w14:paraId="58F58CA2" w14:textId="77777777" w:rsidR="00835F93" w:rsidRDefault="00835F93" w:rsidP="00835F93">
      <w:pPr>
        <w:pStyle w:val="Heading2"/>
        <w:ind w:left="562"/>
      </w:pPr>
    </w:p>
    <w:p w14:paraId="5F20F678" w14:textId="77777777" w:rsidR="00835F93" w:rsidRPr="006C7BE4" w:rsidRDefault="00835F93" w:rsidP="00835F93">
      <w:pPr>
        <w:pStyle w:val="Heading2"/>
        <w:ind w:left="562"/>
      </w:pPr>
      <w:r>
        <w:t xml:space="preserve">Disconnection Notice communication </w:t>
      </w:r>
    </w:p>
    <w:p w14:paraId="0E9C4EB6" w14:textId="77777777" w:rsidR="00835F93" w:rsidRDefault="00835F93" w:rsidP="00835F93">
      <w:pPr>
        <w:ind w:left="922"/>
        <w:rPr>
          <w:rFonts w:ascii="Tahoma" w:eastAsia="Times New Roman" w:hAnsi="Tahoma" w:cs="Tahoma"/>
          <w:sz w:val="22"/>
          <w:szCs w:val="22"/>
        </w:rPr>
      </w:pPr>
    </w:p>
    <w:p w14:paraId="1D844BED" w14:textId="77777777" w:rsidR="00835F93" w:rsidRPr="00717EF1" w:rsidRDefault="00835F93" w:rsidP="00835F93">
      <w:pPr>
        <w:ind w:left="922"/>
        <w:rPr>
          <w:rFonts w:ascii="Times New Roman" w:eastAsia="Times New Roman" w:hAnsi="Times New Roman" w:cs="Times New Roman"/>
        </w:rPr>
      </w:pPr>
      <w:r w:rsidRPr="00717EF1">
        <w:rPr>
          <w:rFonts w:ascii="Tahoma" w:eastAsia="Times New Roman" w:hAnsi="Tahoma" w:cs="Tahoma"/>
          <w:sz w:val="22"/>
          <w:szCs w:val="22"/>
        </w:rPr>
        <w:t>If the balance is not paid in full by the end of the day on the due date a disconnect notice will be issued within 15 days with the earliest disconnect date that occurs 10-12 days after the date of the DNP notice.</w:t>
      </w:r>
      <w:r w:rsidRPr="00717EF1">
        <w:rPr>
          <w:rFonts w:ascii="Tahoma" w:eastAsia="Times New Roman" w:hAnsi="Tahoma" w:cs="Tahoma"/>
          <w:sz w:val="22"/>
          <w:szCs w:val="22"/>
        </w:rPr>
        <w:br/>
      </w:r>
      <w:r w:rsidRPr="00717EF1">
        <w:rPr>
          <w:rFonts w:ascii="Tahoma" w:eastAsia="Times New Roman" w:hAnsi="Tahoma" w:cs="Tahoma"/>
          <w:sz w:val="22"/>
          <w:szCs w:val="22"/>
        </w:rPr>
        <w:br/>
        <w:t>The customer may request a payment arrangement for up to a maximum of (5) days past the DNP date.</w:t>
      </w:r>
      <w:r>
        <w:rPr>
          <w:rFonts w:ascii="Tahoma" w:eastAsia="Times New Roman" w:hAnsi="Tahoma" w:cs="Tahoma"/>
          <w:sz w:val="22"/>
          <w:szCs w:val="22"/>
        </w:rPr>
        <w:t xml:space="preserve"> </w:t>
      </w:r>
      <w:r w:rsidRPr="00717EF1">
        <w:rPr>
          <w:rFonts w:ascii="Tahoma" w:eastAsia="Times New Roman" w:hAnsi="Tahoma" w:cs="Tahoma"/>
          <w:sz w:val="22"/>
          <w:szCs w:val="22"/>
        </w:rPr>
        <w:t xml:space="preserve">A supervisor may approve a payment arrangement for a </w:t>
      </w:r>
      <w:r w:rsidRPr="00717EF1">
        <w:rPr>
          <w:rFonts w:ascii="Tahoma" w:eastAsia="Times New Roman" w:hAnsi="Tahoma" w:cs="Tahoma"/>
          <w:sz w:val="22"/>
          <w:szCs w:val="22"/>
        </w:rPr>
        <w:lastRenderedPageBreak/>
        <w:t>maximum of (10) days past the DNP date.</w:t>
      </w:r>
      <w:r w:rsidRPr="00717EF1">
        <w:rPr>
          <w:rFonts w:ascii="Tahoma" w:eastAsia="Times New Roman" w:hAnsi="Tahoma" w:cs="Tahoma"/>
          <w:sz w:val="22"/>
          <w:szCs w:val="22"/>
        </w:rPr>
        <w:br/>
      </w:r>
      <w:r w:rsidRPr="00717EF1">
        <w:rPr>
          <w:rFonts w:ascii="Tahoma" w:eastAsia="Times New Roman" w:hAnsi="Tahoma" w:cs="Tahoma"/>
          <w:sz w:val="22"/>
          <w:szCs w:val="22"/>
        </w:rPr>
        <w:br/>
        <w:t>A deferred payment plan may also be requested. The deferred payment plan requires a down payment of 50% of the past due amount, a supervisor may approve a down payment of 25%.</w:t>
      </w:r>
      <w:r w:rsidRPr="00717EF1">
        <w:rPr>
          <w:rFonts w:ascii="Tahoma" w:eastAsia="Times New Roman" w:hAnsi="Tahoma" w:cs="Tahoma"/>
          <w:sz w:val="22"/>
          <w:szCs w:val="22"/>
        </w:rPr>
        <w:br/>
      </w:r>
      <w:r w:rsidRPr="00717EF1">
        <w:rPr>
          <w:rFonts w:ascii="Tahoma" w:eastAsia="Times New Roman" w:hAnsi="Tahoma" w:cs="Tahoma"/>
          <w:sz w:val="22"/>
          <w:szCs w:val="22"/>
        </w:rPr>
        <w:br/>
      </w:r>
      <w:r w:rsidRPr="00717EF1">
        <w:rPr>
          <w:rFonts w:ascii="Tahoma" w:eastAsia="Times New Roman" w:hAnsi="Tahoma" w:cs="Tahoma"/>
          <w:b/>
          <w:bCs/>
          <w:sz w:val="22"/>
          <w:szCs w:val="22"/>
        </w:rPr>
        <w:t>Per the terms of service agreement:</w:t>
      </w:r>
      <w:r w:rsidRPr="00717EF1">
        <w:rPr>
          <w:rFonts w:ascii="Tahoma" w:eastAsia="Times New Roman" w:hAnsi="Tahoma" w:cs="Tahoma"/>
          <w:sz w:val="22"/>
          <w:szCs w:val="22"/>
        </w:rPr>
        <w:br/>
      </w:r>
      <w:r w:rsidRPr="00717EF1">
        <w:rPr>
          <w:rFonts w:ascii="Tahoma" w:eastAsia="Times New Roman" w:hAnsi="Tahoma" w:cs="Tahoma"/>
          <w:sz w:val="22"/>
          <w:szCs w:val="22"/>
        </w:rPr>
        <w:br/>
        <w:t>Disconnection of Your Electric Service: WE MAY REQUEST DISCONNECTION OF YOUR ELECTRIC SERVICE IF YOU DO NOT PAY YOUR DEPOSIT OR THE PAST DUE AMOUNT OF YOUR ELECTRIC SERVICE BILL IN FULL BY THE DUE DATE ON THE DISCONNECT NOTICE.</w:t>
      </w:r>
      <w:r w:rsidRPr="00717EF1">
        <w:rPr>
          <w:rFonts w:ascii="Tahoma" w:eastAsia="Times New Roman" w:hAnsi="Tahoma" w:cs="Tahoma"/>
          <w:sz w:val="22"/>
          <w:szCs w:val="22"/>
        </w:rPr>
        <w:br/>
      </w:r>
      <w:r w:rsidRPr="00717EF1">
        <w:rPr>
          <w:rFonts w:ascii="Tahoma" w:eastAsia="Times New Roman" w:hAnsi="Tahoma" w:cs="Tahoma"/>
          <w:sz w:val="22"/>
          <w:szCs w:val="22"/>
        </w:rPr>
        <w:br/>
        <w:t>We will notify you before we disconnect electric service, as authorized by the PUCT. We may request disconnection of your electric service without prior</w:t>
      </w:r>
      <w:r w:rsidRPr="00717EF1">
        <w:rPr>
          <w:rFonts w:ascii="Tahoma" w:eastAsia="Times New Roman" w:hAnsi="Tahoma" w:cs="Tahoma"/>
          <w:sz w:val="22"/>
          <w:szCs w:val="22"/>
        </w:rPr>
        <w:br/>
        <w:t>notice immediately under specific situations, including the existence of a dangerous condition at your service address or theft of service.</w:t>
      </w:r>
      <w:r w:rsidRPr="00717EF1">
        <w:rPr>
          <w:rFonts w:ascii="Tahoma" w:eastAsia="Times New Roman" w:hAnsi="Tahoma" w:cs="Tahoma"/>
          <w:sz w:val="22"/>
          <w:szCs w:val="22"/>
        </w:rPr>
        <w:br/>
      </w:r>
      <w:r w:rsidRPr="00717EF1">
        <w:rPr>
          <w:rFonts w:ascii="Tahoma" w:eastAsia="Times New Roman" w:hAnsi="Tahoma" w:cs="Tahoma"/>
          <w:sz w:val="22"/>
          <w:szCs w:val="22"/>
        </w:rPr>
        <w:br/>
        <w:t>If you receive a disconnection notice, we may also charge you a Disconnect Fee if you do not pay the past due amount before the date your service</w:t>
      </w:r>
      <w:r w:rsidRPr="00717EF1">
        <w:rPr>
          <w:rFonts w:ascii="Tahoma" w:eastAsia="Times New Roman" w:hAnsi="Tahoma" w:cs="Tahoma"/>
          <w:sz w:val="22"/>
          <w:szCs w:val="22"/>
        </w:rPr>
        <w:br/>
        <w:t>is subject to disconnection as stated in the disconnection notice. This charge will apply regardless of whether your electric service is actually</w:t>
      </w:r>
      <w:r w:rsidRPr="00717EF1">
        <w:rPr>
          <w:rFonts w:ascii="Tahoma" w:eastAsia="Times New Roman" w:hAnsi="Tahoma" w:cs="Tahoma"/>
          <w:sz w:val="22"/>
          <w:szCs w:val="22"/>
        </w:rPr>
        <w:br/>
        <w:t>disconnected.</w:t>
      </w:r>
      <w:r w:rsidRPr="00717EF1">
        <w:rPr>
          <w:rFonts w:ascii="Tahoma" w:eastAsia="Times New Roman" w:hAnsi="Tahoma" w:cs="Tahoma"/>
          <w:sz w:val="22"/>
          <w:szCs w:val="22"/>
        </w:rPr>
        <w:br/>
      </w:r>
      <w:r w:rsidRPr="00717EF1">
        <w:rPr>
          <w:rFonts w:ascii="Tahoma" w:eastAsia="Times New Roman" w:hAnsi="Tahoma" w:cs="Tahoma"/>
          <w:sz w:val="22"/>
          <w:szCs w:val="22"/>
        </w:rPr>
        <w:br/>
        <w:t xml:space="preserve">Customer Account Updates: </w:t>
      </w:r>
      <w:r>
        <w:rPr>
          <w:rFonts w:ascii="Tahoma" w:eastAsia="Times New Roman" w:hAnsi="Tahoma" w:cs="Tahoma"/>
          <w:sz w:val="22"/>
          <w:szCs w:val="22"/>
        </w:rPr>
        <w:t>IHPS</w:t>
      </w:r>
      <w:r w:rsidRPr="00717EF1">
        <w:rPr>
          <w:rFonts w:ascii="Tahoma" w:eastAsia="Times New Roman" w:hAnsi="Tahoma" w:cs="Tahoma"/>
          <w:sz w:val="22"/>
          <w:szCs w:val="22"/>
        </w:rPr>
        <w:t xml:space="preserve"> may also communicate with you through an Account Update process. At the time of enrollment with us, you must provide a valid mobile number that can accept text messages. Standard text messaging rates may apply as charged by your mobile phone service provider. By providing your mobile phone number, you authorize </w:t>
      </w:r>
      <w:r>
        <w:rPr>
          <w:rFonts w:ascii="Tahoma" w:eastAsia="Times New Roman" w:hAnsi="Tahoma" w:cs="Tahoma"/>
          <w:sz w:val="22"/>
          <w:szCs w:val="22"/>
        </w:rPr>
        <w:t>IHPS</w:t>
      </w:r>
      <w:r w:rsidRPr="00717EF1">
        <w:rPr>
          <w:rFonts w:ascii="Tahoma" w:eastAsia="Times New Roman" w:hAnsi="Tahoma" w:cs="Tahoma"/>
          <w:sz w:val="22"/>
          <w:szCs w:val="22"/>
        </w:rPr>
        <w:t xml:space="preserve"> to have additional avenues to contact you using an</w:t>
      </w:r>
      <w:r>
        <w:rPr>
          <w:rFonts w:ascii="Tahoma" w:eastAsia="Times New Roman" w:hAnsi="Tahoma" w:cs="Tahoma"/>
          <w:sz w:val="22"/>
          <w:szCs w:val="22"/>
        </w:rPr>
        <w:t xml:space="preserve"> </w:t>
      </w:r>
      <w:r w:rsidRPr="00717EF1">
        <w:rPr>
          <w:rFonts w:ascii="Tahoma" w:eastAsia="Times New Roman" w:hAnsi="Tahoma" w:cs="Tahoma"/>
          <w:sz w:val="22"/>
          <w:szCs w:val="22"/>
        </w:rPr>
        <w:t>automated dialer or via text messages.</w:t>
      </w:r>
    </w:p>
    <w:p w14:paraId="77617239" w14:textId="77777777" w:rsidR="00835F93" w:rsidRDefault="00835F93" w:rsidP="00835F93">
      <w:pPr>
        <w:pStyle w:val="ListParagraph"/>
        <w:spacing w:after="289"/>
        <w:ind w:left="1282" w:right="12"/>
      </w:pPr>
      <w:r>
        <w:t xml:space="preserve"> </w:t>
      </w:r>
    </w:p>
    <w:p w14:paraId="7067FE93" w14:textId="77777777" w:rsidR="00835F93" w:rsidRDefault="00835F93" w:rsidP="00835F93">
      <w:pPr>
        <w:pStyle w:val="ListParagraph"/>
        <w:spacing w:after="289"/>
        <w:ind w:left="1282" w:right="12"/>
      </w:pPr>
    </w:p>
    <w:p w14:paraId="609E2FA2" w14:textId="77777777" w:rsidR="00835F93" w:rsidRDefault="00835F93" w:rsidP="00835F93">
      <w:pPr>
        <w:pStyle w:val="ListParagraph"/>
        <w:spacing w:after="289"/>
        <w:ind w:left="1282" w:right="12"/>
      </w:pPr>
    </w:p>
    <w:p w14:paraId="2F9638C9" w14:textId="77777777" w:rsidR="00835F93" w:rsidRDefault="00835F93" w:rsidP="00835F93">
      <w:pPr>
        <w:pStyle w:val="ListParagraph"/>
        <w:spacing w:after="289"/>
        <w:ind w:left="1282" w:right="12"/>
      </w:pPr>
    </w:p>
    <w:p w14:paraId="310D562E" w14:textId="77777777" w:rsidR="00835F93" w:rsidRDefault="00835F93" w:rsidP="00835F93">
      <w:pPr>
        <w:pStyle w:val="ListParagraph"/>
        <w:spacing w:after="289"/>
        <w:ind w:left="1282" w:right="12"/>
      </w:pPr>
    </w:p>
    <w:p w14:paraId="67AFF069" w14:textId="77777777" w:rsidR="00835F93" w:rsidRDefault="00835F93" w:rsidP="00835F93">
      <w:pPr>
        <w:pStyle w:val="ListParagraph"/>
        <w:spacing w:after="289"/>
        <w:ind w:left="1282" w:right="12"/>
      </w:pPr>
    </w:p>
    <w:p w14:paraId="63A6D3D8" w14:textId="77777777" w:rsidR="00835F93" w:rsidRDefault="00835F93" w:rsidP="00835F93">
      <w:pPr>
        <w:pStyle w:val="ListParagraph"/>
        <w:spacing w:after="289"/>
        <w:ind w:left="1282" w:right="12"/>
      </w:pPr>
    </w:p>
    <w:p w14:paraId="1219EE4C" w14:textId="77777777" w:rsidR="00835F93" w:rsidRDefault="00835F93" w:rsidP="00835F93">
      <w:pPr>
        <w:pStyle w:val="ListParagraph"/>
        <w:spacing w:after="289"/>
        <w:ind w:left="1282" w:right="12"/>
      </w:pPr>
    </w:p>
    <w:p w14:paraId="48C7C013" w14:textId="07D79182" w:rsidR="00011D24" w:rsidRDefault="00011D24">
      <w:pPr>
        <w:spacing w:after="6590" w:line="259" w:lineRule="auto"/>
        <w:ind w:left="567" w:firstLine="0"/>
      </w:pPr>
    </w:p>
    <w:p w14:paraId="36570398" w14:textId="77777777" w:rsidR="00011D24" w:rsidRDefault="00BC5D66">
      <w:pPr>
        <w:spacing w:after="307" w:line="259" w:lineRule="auto"/>
        <w:ind w:left="1360"/>
      </w:pPr>
      <w:r>
        <w:rPr>
          <w:b/>
          <w:i/>
          <w:sz w:val="22"/>
        </w:rPr>
        <w:lastRenderedPageBreak/>
        <w:t xml:space="preserve">MINIMUM REPORTING REQUIREMENTS </w:t>
      </w:r>
    </w:p>
    <w:p w14:paraId="4331BA61" w14:textId="77777777" w:rsidR="00011D24" w:rsidRDefault="00BC5D66">
      <w:pPr>
        <w:pStyle w:val="Heading2"/>
        <w:ind w:left="562"/>
      </w:pPr>
      <w:r>
        <w:t xml:space="preserve">PURPOSE </w:t>
      </w:r>
    </w:p>
    <w:p w14:paraId="65C8051C" w14:textId="77777777" w:rsidR="00011D24" w:rsidRDefault="00BC5D66">
      <w:pPr>
        <w:spacing w:after="289"/>
        <w:ind w:left="562" w:right="12"/>
      </w:pPr>
      <w:r>
        <w:t xml:space="preserve">Comprehensive, accurate, and timely reporting is essential to manage risk and assure compliance with the Policy.  This section sets forth the minimum internal reporting requirements. </w:t>
      </w:r>
    </w:p>
    <w:p w14:paraId="4578F643" w14:textId="77777777" w:rsidR="00011D24" w:rsidRDefault="00BC5D66">
      <w:pPr>
        <w:pStyle w:val="Heading2"/>
        <w:ind w:left="562"/>
      </w:pPr>
      <w:r>
        <w:t xml:space="preserve">RISK REPORTS </w:t>
      </w:r>
    </w:p>
    <w:p w14:paraId="4C8C422E" w14:textId="77777777" w:rsidR="00011D24" w:rsidRDefault="00BC5D66">
      <w:pPr>
        <w:ind w:left="562" w:right="12"/>
      </w:pPr>
      <w:r>
        <w:t xml:space="preserve">Designated Reports will be circulated at a frequency and to recipients, as approved by the RMC. </w:t>
      </w:r>
    </w:p>
    <w:p w14:paraId="3BD3B062" w14:textId="77777777" w:rsidR="00011D24" w:rsidRDefault="00BC5D66">
      <w:pPr>
        <w:spacing w:after="262"/>
        <w:ind w:left="562" w:right="12"/>
      </w:pPr>
      <w:r>
        <w:t xml:space="preserve">Minimum guidelines for reporting and distribution include: </w:t>
      </w:r>
    </w:p>
    <w:p w14:paraId="432278FE" w14:textId="77777777" w:rsidR="00011D24" w:rsidRDefault="00BC5D66">
      <w:pPr>
        <w:numPr>
          <w:ilvl w:val="0"/>
          <w:numId w:val="7"/>
        </w:numPr>
        <w:ind w:right="12" w:hanging="360"/>
      </w:pPr>
      <w:r>
        <w:t xml:space="preserve">Daily Reports: </w:t>
      </w:r>
    </w:p>
    <w:p w14:paraId="1C887680" w14:textId="1A7D83AF" w:rsidR="00011D24" w:rsidRDefault="00BC5D66">
      <w:pPr>
        <w:numPr>
          <w:ilvl w:val="0"/>
          <w:numId w:val="7"/>
        </w:numPr>
        <w:ind w:right="12" w:hanging="360"/>
      </w:pPr>
      <w:r>
        <w:t xml:space="preserve">Cash flow forecast and P&amp;L estimates </w:t>
      </w:r>
    </w:p>
    <w:p w14:paraId="5C3196A1" w14:textId="5D775B14" w:rsidR="003E7790" w:rsidRPr="006D7E2F" w:rsidRDefault="003E7790">
      <w:pPr>
        <w:numPr>
          <w:ilvl w:val="0"/>
          <w:numId w:val="7"/>
        </w:numPr>
        <w:ind w:right="12" w:hanging="360"/>
        <w:rPr>
          <w:color w:val="000000" w:themeColor="text1"/>
        </w:rPr>
      </w:pPr>
      <w:r w:rsidRPr="006D7E2F">
        <w:rPr>
          <w:color w:val="000000" w:themeColor="text1"/>
        </w:rPr>
        <w:t xml:space="preserve">REC requirements and </w:t>
      </w:r>
      <w:r w:rsidR="00304AE7" w:rsidRPr="006D7E2F">
        <w:rPr>
          <w:color w:val="000000" w:themeColor="text1"/>
        </w:rPr>
        <w:t>Ancillary</w:t>
      </w:r>
      <w:r w:rsidRPr="006D7E2F">
        <w:rPr>
          <w:color w:val="000000" w:themeColor="text1"/>
        </w:rPr>
        <w:t xml:space="preserve"> Exposure </w:t>
      </w:r>
    </w:p>
    <w:p w14:paraId="3A36D841" w14:textId="77777777" w:rsidR="00011D24" w:rsidRPr="006D7E2F" w:rsidRDefault="00BC5D66">
      <w:pPr>
        <w:numPr>
          <w:ilvl w:val="0"/>
          <w:numId w:val="7"/>
        </w:numPr>
        <w:ind w:right="12" w:hanging="360"/>
        <w:rPr>
          <w:color w:val="000000" w:themeColor="text1"/>
        </w:rPr>
      </w:pPr>
      <w:r w:rsidRPr="006D7E2F">
        <w:rPr>
          <w:color w:val="000000" w:themeColor="text1"/>
        </w:rPr>
        <w:t xml:space="preserve">Mark to Market Profit and Loss </w:t>
      </w:r>
      <w:proofErr w:type="gramStart"/>
      <w:r w:rsidRPr="006D7E2F">
        <w:rPr>
          <w:color w:val="000000" w:themeColor="text1"/>
        </w:rPr>
        <w:t>Reports;</w:t>
      </w:r>
      <w:proofErr w:type="gramEnd"/>
      <w:r w:rsidRPr="006D7E2F">
        <w:rPr>
          <w:color w:val="000000" w:themeColor="text1"/>
        </w:rPr>
        <w:t xml:space="preserve"> </w:t>
      </w:r>
    </w:p>
    <w:p w14:paraId="65130197" w14:textId="77777777" w:rsidR="00011D24" w:rsidRDefault="00BC5D66">
      <w:pPr>
        <w:numPr>
          <w:ilvl w:val="0"/>
          <w:numId w:val="7"/>
        </w:numPr>
        <w:ind w:right="12" w:hanging="360"/>
      </w:pPr>
      <w:r>
        <w:t xml:space="preserve">Portfolio Position </w:t>
      </w:r>
      <w:proofErr w:type="gramStart"/>
      <w:r>
        <w:t>Reports;</w:t>
      </w:r>
      <w:proofErr w:type="gramEnd"/>
      <w:r>
        <w:t xml:space="preserve"> </w:t>
      </w:r>
    </w:p>
    <w:p w14:paraId="2530DEBD" w14:textId="77777777" w:rsidR="00011D24" w:rsidRDefault="00BC5D66">
      <w:pPr>
        <w:numPr>
          <w:ilvl w:val="0"/>
          <w:numId w:val="7"/>
        </w:numPr>
        <w:ind w:right="12" w:hanging="360"/>
      </w:pPr>
      <w:r>
        <w:t xml:space="preserve">Transaction </w:t>
      </w:r>
      <w:proofErr w:type="gramStart"/>
      <w:r>
        <w:t>Reports;</w:t>
      </w:r>
      <w:proofErr w:type="gramEnd"/>
      <w:r>
        <w:t xml:space="preserve"> </w:t>
      </w:r>
    </w:p>
    <w:p w14:paraId="5EDDCD2D" w14:textId="77777777" w:rsidR="00011D24" w:rsidRDefault="00BC5D66">
      <w:pPr>
        <w:numPr>
          <w:ilvl w:val="0"/>
          <w:numId w:val="7"/>
        </w:numPr>
        <w:ind w:right="12" w:hanging="360"/>
      </w:pPr>
      <w:r>
        <w:t xml:space="preserve">Counterparty Credit Exposure Reports. </w:t>
      </w:r>
    </w:p>
    <w:p w14:paraId="7E15335A" w14:textId="77777777" w:rsidR="00011D24" w:rsidRDefault="00BC5D66">
      <w:pPr>
        <w:numPr>
          <w:ilvl w:val="0"/>
          <w:numId w:val="7"/>
        </w:numPr>
        <w:ind w:right="12" w:hanging="360"/>
      </w:pPr>
      <w:r>
        <w:t xml:space="preserve">Weekly Reports </w:t>
      </w:r>
    </w:p>
    <w:p w14:paraId="0E5FF524" w14:textId="77777777" w:rsidR="00011D24" w:rsidRDefault="00BC5D66">
      <w:pPr>
        <w:numPr>
          <w:ilvl w:val="0"/>
          <w:numId w:val="7"/>
        </w:numPr>
        <w:ind w:right="12" w:hanging="360"/>
      </w:pPr>
      <w:r>
        <w:t xml:space="preserve">Cash Flow Forecasts; and </w:t>
      </w:r>
    </w:p>
    <w:p w14:paraId="124C19DB" w14:textId="77777777" w:rsidR="00011D24" w:rsidRDefault="00BC5D66">
      <w:pPr>
        <w:numPr>
          <w:ilvl w:val="0"/>
          <w:numId w:val="7"/>
        </w:numPr>
        <w:spacing w:after="196"/>
        <w:ind w:right="12" w:hanging="360"/>
      </w:pPr>
      <w:r>
        <w:t xml:space="preserve">Collateral Outstanding. </w:t>
      </w:r>
    </w:p>
    <w:p w14:paraId="0C88ADBE" w14:textId="60929BC8" w:rsidR="00011D24" w:rsidRDefault="00BC5D66">
      <w:pPr>
        <w:spacing w:after="4924" w:line="259" w:lineRule="auto"/>
        <w:ind w:left="567" w:firstLine="0"/>
      </w:pPr>
      <w:r>
        <w:t xml:space="preserve"> </w:t>
      </w:r>
    </w:p>
    <w:p w14:paraId="736F4010" w14:textId="77777777" w:rsidR="006B71DA" w:rsidRDefault="006B71DA">
      <w:pPr>
        <w:spacing w:after="4924" w:line="259" w:lineRule="auto"/>
        <w:ind w:left="567" w:firstLine="0"/>
      </w:pPr>
    </w:p>
    <w:p w14:paraId="1200AB1B" w14:textId="77777777" w:rsidR="00011D24" w:rsidRDefault="00BC5D66">
      <w:pPr>
        <w:spacing w:after="307" w:line="259" w:lineRule="auto"/>
        <w:ind w:left="10"/>
      </w:pPr>
      <w:r>
        <w:rPr>
          <w:b/>
          <w:i/>
          <w:sz w:val="22"/>
        </w:rPr>
        <w:lastRenderedPageBreak/>
        <w:t xml:space="preserve">APPENDIX A: COMMITTEE MEMBERS </w:t>
      </w:r>
    </w:p>
    <w:p w14:paraId="3EB0F12B" w14:textId="77777777" w:rsidR="00011D24" w:rsidRDefault="00BC5D66">
      <w:pPr>
        <w:pStyle w:val="Heading2"/>
        <w:tabs>
          <w:tab w:val="center" w:pos="441"/>
          <w:tab w:val="center" w:pos="2852"/>
        </w:tabs>
        <w:ind w:left="0" w:firstLine="0"/>
      </w:pPr>
      <w:r>
        <w:rPr>
          <w:rFonts w:ascii="Calibri" w:eastAsia="Calibri" w:hAnsi="Calibri" w:cs="Calibri"/>
          <w:b w:val="0"/>
        </w:rPr>
        <w:tab/>
      </w:r>
      <w:r>
        <w:t xml:space="preserve">A.1 </w:t>
      </w:r>
      <w:r>
        <w:tab/>
        <w:t xml:space="preserve">RISK MANAGEMENT COMMITTEE </w:t>
      </w:r>
    </w:p>
    <w:p w14:paraId="2520C79A" w14:textId="3299B975" w:rsidR="00011D24" w:rsidRDefault="00993F1F" w:rsidP="00993F1F">
      <w:pPr>
        <w:pStyle w:val="ListParagraph"/>
        <w:numPr>
          <w:ilvl w:val="0"/>
          <w:numId w:val="10"/>
        </w:numPr>
        <w:spacing w:after="234" w:line="259" w:lineRule="auto"/>
        <w:ind w:right="4999"/>
      </w:pPr>
      <w:r>
        <w:t xml:space="preserve">Peter Buell CEO </w:t>
      </w:r>
    </w:p>
    <w:p w14:paraId="4E6C8AE7" w14:textId="7D3E74D6" w:rsidR="00993F1F" w:rsidRDefault="00993F1F" w:rsidP="00993F1F">
      <w:pPr>
        <w:pStyle w:val="ListParagraph"/>
        <w:numPr>
          <w:ilvl w:val="0"/>
          <w:numId w:val="10"/>
        </w:numPr>
        <w:spacing w:after="234" w:line="259" w:lineRule="auto"/>
        <w:ind w:right="4999"/>
      </w:pPr>
      <w:r>
        <w:t>Clayton Isom – President</w:t>
      </w:r>
    </w:p>
    <w:p w14:paraId="601529BB" w14:textId="5C27BF0E" w:rsidR="00993F1F" w:rsidRDefault="00993F1F" w:rsidP="00993F1F">
      <w:pPr>
        <w:pStyle w:val="ListParagraph"/>
        <w:numPr>
          <w:ilvl w:val="0"/>
          <w:numId w:val="10"/>
        </w:numPr>
        <w:spacing w:after="234" w:line="259" w:lineRule="auto"/>
        <w:ind w:right="4443"/>
      </w:pPr>
      <w:r>
        <w:t>James Brownlie – Board</w:t>
      </w:r>
    </w:p>
    <w:p w14:paraId="645DE2D2" w14:textId="11B59A15" w:rsidR="00993F1F" w:rsidRDefault="00993F1F" w:rsidP="00993F1F">
      <w:pPr>
        <w:pStyle w:val="ListParagraph"/>
        <w:numPr>
          <w:ilvl w:val="0"/>
          <w:numId w:val="10"/>
        </w:numPr>
        <w:spacing w:after="234" w:line="259" w:lineRule="auto"/>
        <w:ind w:right="4173"/>
      </w:pPr>
      <w:r>
        <w:t>David E. Garcia – COO Risk</w:t>
      </w:r>
    </w:p>
    <w:p w14:paraId="7DCE418F" w14:textId="77777777" w:rsidR="00993F1F" w:rsidRDefault="00993F1F" w:rsidP="00993F1F">
      <w:pPr>
        <w:pStyle w:val="ListParagraph"/>
        <w:spacing w:after="234" w:line="259" w:lineRule="auto"/>
        <w:ind w:left="1800" w:right="4999" w:firstLine="0"/>
      </w:pPr>
    </w:p>
    <w:p w14:paraId="47F10F5E" w14:textId="77777777" w:rsidR="00993F1F" w:rsidRDefault="00993F1F" w:rsidP="00993F1F">
      <w:pPr>
        <w:spacing w:after="234" w:line="259" w:lineRule="auto"/>
        <w:ind w:left="0" w:right="4999" w:firstLine="0"/>
        <w:jc w:val="center"/>
      </w:pPr>
    </w:p>
    <w:p w14:paraId="759635A2" w14:textId="77777777" w:rsidR="00011D24" w:rsidRDefault="00BC5D66">
      <w:pPr>
        <w:pStyle w:val="Heading2"/>
        <w:tabs>
          <w:tab w:val="center" w:pos="441"/>
          <w:tab w:val="center" w:pos="2779"/>
        </w:tabs>
        <w:spacing w:after="246"/>
        <w:ind w:left="0" w:firstLine="0"/>
      </w:pPr>
      <w:r>
        <w:rPr>
          <w:rFonts w:ascii="Calibri" w:eastAsia="Calibri" w:hAnsi="Calibri" w:cs="Calibri"/>
          <w:b w:val="0"/>
        </w:rPr>
        <w:tab/>
      </w:r>
      <w:r>
        <w:t xml:space="preserve">A.2 </w:t>
      </w:r>
      <w:r>
        <w:tab/>
        <w:t xml:space="preserve">COMMITTEE RESPONSIBILITIES </w:t>
      </w:r>
    </w:p>
    <w:p w14:paraId="1E948E20" w14:textId="11B6336B" w:rsidR="00011D24" w:rsidRPr="002B2693" w:rsidRDefault="00BC5D66" w:rsidP="002B2693">
      <w:pPr>
        <w:pStyle w:val="Heading3"/>
        <w:tabs>
          <w:tab w:val="center" w:pos="623"/>
          <w:tab w:val="center" w:pos="3059"/>
        </w:tabs>
        <w:ind w:left="0" w:firstLine="180"/>
        <w:rPr>
          <w:u w:val="single"/>
        </w:rPr>
      </w:pPr>
      <w:r>
        <w:rPr>
          <w:rFonts w:ascii="Calibri" w:eastAsia="Calibri" w:hAnsi="Calibri" w:cs="Calibri"/>
          <w:b w:val="0"/>
        </w:rPr>
        <w:tab/>
      </w:r>
      <w:r>
        <w:tab/>
      </w:r>
      <w:r w:rsidR="002B2693" w:rsidRPr="002B2693">
        <w:rPr>
          <w:u w:val="single"/>
        </w:rPr>
        <w:t xml:space="preserve">The </w:t>
      </w:r>
      <w:r w:rsidRPr="002B2693">
        <w:rPr>
          <w:u w:val="single"/>
        </w:rPr>
        <w:t xml:space="preserve">Risk Management Committee (RMC) </w:t>
      </w:r>
    </w:p>
    <w:p w14:paraId="441D2848" w14:textId="77777777" w:rsidR="00011D24" w:rsidRDefault="00BC5D66">
      <w:pPr>
        <w:spacing w:after="263"/>
        <w:ind w:left="10" w:right="12"/>
      </w:pPr>
      <w:r>
        <w:t xml:space="preserve">The RMC will perform the following duties: </w:t>
      </w:r>
    </w:p>
    <w:p w14:paraId="2D9F3703" w14:textId="77777777" w:rsidR="00011D24" w:rsidRDefault="00BC5D66">
      <w:pPr>
        <w:numPr>
          <w:ilvl w:val="0"/>
          <w:numId w:val="8"/>
        </w:numPr>
        <w:ind w:right="12" w:hanging="360"/>
      </w:pPr>
      <w:r>
        <w:t xml:space="preserve">Approve IHPS Risk Management Framework and monitor related execution </w:t>
      </w:r>
      <w:proofErr w:type="gramStart"/>
      <w:r>
        <w:t>plans;</w:t>
      </w:r>
      <w:proofErr w:type="gramEnd"/>
      <w:r>
        <w:t xml:space="preserve"> </w:t>
      </w:r>
    </w:p>
    <w:p w14:paraId="500E344C" w14:textId="77777777" w:rsidR="00011D24" w:rsidRDefault="00BC5D66">
      <w:pPr>
        <w:numPr>
          <w:ilvl w:val="0"/>
          <w:numId w:val="8"/>
        </w:numPr>
        <w:ind w:right="12" w:hanging="360"/>
      </w:pPr>
      <w:r>
        <w:t xml:space="preserve">Recommend changes to Limits and Risk Management Policy for Board approval; and </w:t>
      </w:r>
    </w:p>
    <w:p w14:paraId="4BF92904" w14:textId="77777777" w:rsidR="00011D24" w:rsidRDefault="00BC5D66">
      <w:pPr>
        <w:numPr>
          <w:ilvl w:val="0"/>
          <w:numId w:val="8"/>
        </w:numPr>
        <w:ind w:right="12" w:hanging="360"/>
      </w:pPr>
      <w:r>
        <w:t xml:space="preserve">Maintain minutes of RMC meetings and provide copies of these minutes to the Board upon request. </w:t>
      </w:r>
    </w:p>
    <w:p w14:paraId="30A75D63" w14:textId="77777777" w:rsidR="00011D24" w:rsidRDefault="00BC5D66">
      <w:pPr>
        <w:spacing w:after="278" w:line="259" w:lineRule="auto"/>
        <w:ind w:left="0" w:firstLine="0"/>
      </w:pPr>
      <w:r>
        <w:t xml:space="preserve"> </w:t>
      </w:r>
    </w:p>
    <w:p w14:paraId="1FB67E20" w14:textId="77777777" w:rsidR="00011D24" w:rsidRDefault="00BC5D66">
      <w:pPr>
        <w:pStyle w:val="Heading2"/>
        <w:tabs>
          <w:tab w:val="center" w:pos="441"/>
          <w:tab w:val="center" w:pos="2101"/>
        </w:tabs>
        <w:ind w:left="0" w:firstLine="0"/>
      </w:pPr>
      <w:r>
        <w:rPr>
          <w:rFonts w:ascii="Calibri" w:eastAsia="Calibri" w:hAnsi="Calibri" w:cs="Calibri"/>
          <w:b w:val="0"/>
        </w:rPr>
        <w:tab/>
      </w:r>
      <w:r>
        <w:t xml:space="preserve">A.3 </w:t>
      </w:r>
      <w:r>
        <w:tab/>
        <w:t xml:space="preserve">PORTFOLIO LIMITS </w:t>
      </w:r>
    </w:p>
    <w:p w14:paraId="37115F54" w14:textId="77777777" w:rsidR="00011D24" w:rsidRDefault="00BC5D66">
      <w:pPr>
        <w:ind w:left="10" w:right="12"/>
      </w:pPr>
      <w:r>
        <w:t xml:space="preserve">The Board approves IHPS Portfolio Limits. Only the Board can authorize expanded Limits.  </w:t>
      </w:r>
    </w:p>
    <w:p w14:paraId="3082DADB" w14:textId="77777777" w:rsidR="00011D24" w:rsidRDefault="00BC5D66">
      <w:pPr>
        <w:spacing w:after="286"/>
        <w:ind w:left="10" w:right="12"/>
      </w:pPr>
      <w:r>
        <w:t xml:space="preserve">The RMC can recommend new Limits or types of Limits to the Board for Board approval. </w:t>
      </w:r>
    </w:p>
    <w:p w14:paraId="2712C606" w14:textId="77777777" w:rsidR="00011D24" w:rsidRDefault="00BC5D66">
      <w:pPr>
        <w:pStyle w:val="Heading2"/>
        <w:tabs>
          <w:tab w:val="center" w:pos="441"/>
          <w:tab w:val="center" w:pos="2571"/>
        </w:tabs>
        <w:ind w:left="0" w:firstLine="0"/>
      </w:pPr>
      <w:r>
        <w:rPr>
          <w:rFonts w:ascii="Calibri" w:eastAsia="Calibri" w:hAnsi="Calibri" w:cs="Calibri"/>
          <w:b w:val="0"/>
        </w:rPr>
        <w:tab/>
      </w:r>
      <w:r>
        <w:t xml:space="preserve">A.4 </w:t>
      </w:r>
      <w:r>
        <w:tab/>
        <w:t xml:space="preserve">PORTFOLIO AGGREGATION </w:t>
      </w:r>
    </w:p>
    <w:p w14:paraId="16438C14" w14:textId="77777777" w:rsidR="00011D24" w:rsidRDefault="00BC5D66">
      <w:pPr>
        <w:ind w:left="10" w:right="12"/>
      </w:pPr>
      <w:r>
        <w:t xml:space="preserve">IHPS will aggregate all like risks regardless of the source of the risk (physical or financial) and managing the Net Position by commodity and across commodities, and limit structure </w:t>
      </w:r>
    </w:p>
    <w:p w14:paraId="3861A213" w14:textId="77777777" w:rsidR="00011D24" w:rsidRDefault="00BC5D66">
      <w:pPr>
        <w:spacing w:after="262"/>
        <w:ind w:left="10" w:right="12"/>
      </w:pPr>
      <w:r>
        <w:t xml:space="preserve">The overall limit structure is divided into the following areas: </w:t>
      </w:r>
    </w:p>
    <w:p w14:paraId="14937F55" w14:textId="77777777" w:rsidR="00011D24" w:rsidRDefault="00BC5D66">
      <w:pPr>
        <w:numPr>
          <w:ilvl w:val="0"/>
          <w:numId w:val="9"/>
        </w:numPr>
        <w:ind w:right="12" w:hanging="360"/>
      </w:pPr>
      <w:r>
        <w:t xml:space="preserve">Limits of Authority; and </w:t>
      </w:r>
    </w:p>
    <w:p w14:paraId="79889DD7" w14:textId="71FA57D1" w:rsidR="00011D24" w:rsidRPr="006D7E2F" w:rsidRDefault="00BC5D66" w:rsidP="006D7E11">
      <w:pPr>
        <w:numPr>
          <w:ilvl w:val="0"/>
          <w:numId w:val="9"/>
        </w:numPr>
        <w:spacing w:after="120" w:line="240" w:lineRule="auto"/>
        <w:ind w:right="14" w:hanging="360"/>
        <w:rPr>
          <w:color w:val="000000" w:themeColor="text1"/>
        </w:rPr>
      </w:pPr>
      <w:r w:rsidRPr="006D7E2F">
        <w:rPr>
          <w:color w:val="000000" w:themeColor="text1"/>
        </w:rPr>
        <w:t xml:space="preserve">The Net Open Position Portfolio Bandwidth Limit </w:t>
      </w:r>
    </w:p>
    <w:p w14:paraId="2C07D933" w14:textId="7039FFB9" w:rsidR="006D7E11" w:rsidRPr="006D7E2F" w:rsidRDefault="006D7E11" w:rsidP="006D7E11">
      <w:pPr>
        <w:numPr>
          <w:ilvl w:val="0"/>
          <w:numId w:val="9"/>
        </w:numPr>
        <w:spacing w:after="120" w:line="240" w:lineRule="auto"/>
        <w:ind w:right="14" w:hanging="360"/>
        <w:rPr>
          <w:color w:val="000000" w:themeColor="text1"/>
        </w:rPr>
      </w:pPr>
      <w:r w:rsidRPr="006D7E2F">
        <w:rPr>
          <w:color w:val="000000" w:themeColor="text1"/>
        </w:rPr>
        <w:t xml:space="preserve">RECs and Ancillary positions </w:t>
      </w:r>
    </w:p>
    <w:p w14:paraId="7C144EFE" w14:textId="77777777" w:rsidR="002019D0" w:rsidRPr="006D7E2F" w:rsidRDefault="002019D0" w:rsidP="002019D0">
      <w:pPr>
        <w:spacing w:after="120" w:line="240" w:lineRule="auto"/>
        <w:ind w:left="720" w:right="14" w:firstLine="0"/>
        <w:rPr>
          <w:color w:val="000000" w:themeColor="text1"/>
        </w:rPr>
      </w:pPr>
    </w:p>
    <w:p w14:paraId="039FB17D" w14:textId="49AEC6A8" w:rsidR="00E22634" w:rsidRPr="006D7E2F" w:rsidRDefault="00E22634" w:rsidP="00E22634">
      <w:pPr>
        <w:spacing w:after="158" w:line="259" w:lineRule="auto"/>
        <w:ind w:left="0" w:firstLine="0"/>
        <w:rPr>
          <w:b/>
          <w:bCs/>
          <w:color w:val="000000" w:themeColor="text1"/>
          <w:sz w:val="24"/>
          <w:u w:val="single"/>
        </w:rPr>
      </w:pPr>
      <w:r w:rsidRPr="006D7E2F">
        <w:rPr>
          <w:b/>
          <w:bCs/>
          <w:color w:val="000000" w:themeColor="text1"/>
          <w:sz w:val="24"/>
        </w:rPr>
        <w:t>A.5</w:t>
      </w:r>
      <w:r w:rsidRPr="006D7E2F">
        <w:rPr>
          <w:b/>
          <w:bCs/>
          <w:color w:val="000000" w:themeColor="text1"/>
        </w:rPr>
        <w:t xml:space="preserve">    </w:t>
      </w:r>
      <w:r w:rsidRPr="006D7E2F">
        <w:rPr>
          <w:b/>
          <w:bCs/>
          <w:color w:val="000000" w:themeColor="text1"/>
          <w:sz w:val="28"/>
          <w:szCs w:val="28"/>
        </w:rPr>
        <w:t xml:space="preserve">      </w:t>
      </w:r>
      <w:r w:rsidR="00812C4C" w:rsidRPr="006D7E2F">
        <w:rPr>
          <w:b/>
          <w:bCs/>
          <w:color w:val="000000" w:themeColor="text1"/>
          <w:sz w:val="24"/>
        </w:rPr>
        <w:t>CASH MONTH REPORTING - MONITORING</w:t>
      </w:r>
      <w:r w:rsidRPr="006D7E2F">
        <w:rPr>
          <w:b/>
          <w:bCs/>
          <w:color w:val="000000" w:themeColor="text1"/>
          <w:sz w:val="24"/>
          <w:u w:val="single"/>
        </w:rPr>
        <w:t xml:space="preserve"> </w:t>
      </w:r>
    </w:p>
    <w:p w14:paraId="2068C927" w14:textId="77777777" w:rsidR="00E22634" w:rsidRPr="00812C4C" w:rsidRDefault="00E22634" w:rsidP="00E22634">
      <w:pPr>
        <w:spacing w:after="0" w:line="240" w:lineRule="auto"/>
        <w:ind w:left="272" w:hanging="270"/>
        <w:jc w:val="both"/>
        <w:rPr>
          <w:rFonts w:asciiTheme="minorHAnsi" w:eastAsia="Times New Roman" w:hAnsiTheme="minorHAnsi" w:cstheme="minorHAnsi"/>
          <w:sz w:val="22"/>
          <w:szCs w:val="22"/>
        </w:rPr>
      </w:pPr>
      <w:r w:rsidRPr="006D7E2F">
        <w:rPr>
          <w:rFonts w:ascii="Times New Roman" w:eastAsia="Times New Roman" w:hAnsi="Times New Roman" w:cs="Times New Roman"/>
          <w:color w:val="000000" w:themeColor="text1"/>
          <w:sz w:val="22"/>
          <w:szCs w:val="22"/>
        </w:rPr>
        <w:t>·</w:t>
      </w:r>
      <w:r w:rsidRPr="006D7E2F">
        <w:rPr>
          <w:rFonts w:ascii="Times New Roman" w:eastAsia="Times New Roman" w:hAnsi="Times New Roman" w:cs="Times New Roman"/>
          <w:color w:val="000000" w:themeColor="text1"/>
          <w:sz w:val="14"/>
          <w:szCs w:val="14"/>
        </w:rPr>
        <w:t>    </w:t>
      </w:r>
      <w:r w:rsidRPr="006D7E2F">
        <w:rPr>
          <w:rFonts w:ascii="Garamond" w:eastAsia="Times New Roman" w:hAnsi="Garamond" w:cs="Times New Roman"/>
          <w:color w:val="000000" w:themeColor="text1"/>
          <w:sz w:val="22"/>
          <w:szCs w:val="22"/>
        </w:rPr>
        <w:t xml:space="preserve"> </w:t>
      </w:r>
      <w:r w:rsidRPr="006D7E2F">
        <w:rPr>
          <w:rFonts w:asciiTheme="minorHAnsi" w:eastAsia="Times New Roman" w:hAnsiTheme="minorHAnsi" w:cstheme="minorHAnsi"/>
          <w:color w:val="000000" w:themeColor="text1"/>
          <w:sz w:val="22"/>
          <w:szCs w:val="22"/>
        </w:rPr>
        <w:t xml:space="preserve">IronHorse shall, by the end of each week, review the latest near-term weather and load forecasts and update its hedge position for the upcoming week utilizing any combinations of authorized </w:t>
      </w:r>
      <w:r w:rsidRPr="00812C4C">
        <w:rPr>
          <w:rFonts w:asciiTheme="minorHAnsi" w:eastAsia="Times New Roman" w:hAnsiTheme="minorHAnsi" w:cstheme="minorHAnsi"/>
          <w:sz w:val="22"/>
          <w:szCs w:val="22"/>
        </w:rPr>
        <w:t>hedging products to fully mitigate any unhedged demand. Periodic reviews/audits will be performed.</w:t>
      </w:r>
    </w:p>
    <w:p w14:paraId="6EF98E3E" w14:textId="77777777" w:rsidR="00E22634" w:rsidRPr="00812C4C" w:rsidRDefault="00E22634" w:rsidP="00E22634">
      <w:pPr>
        <w:spacing w:after="0" w:line="240" w:lineRule="auto"/>
        <w:ind w:left="272" w:hanging="270"/>
        <w:jc w:val="both"/>
        <w:rPr>
          <w:rFonts w:asciiTheme="minorHAnsi" w:eastAsia="Times New Roman" w:hAnsiTheme="minorHAnsi" w:cstheme="minorHAnsi"/>
          <w:sz w:val="22"/>
          <w:szCs w:val="22"/>
        </w:rPr>
      </w:pPr>
      <w:r w:rsidRPr="00812C4C">
        <w:rPr>
          <w:rFonts w:asciiTheme="minorHAnsi" w:eastAsia="Times New Roman" w:hAnsiTheme="minorHAnsi" w:cstheme="minorHAnsi"/>
          <w:sz w:val="22"/>
          <w:szCs w:val="22"/>
        </w:rPr>
        <w:lastRenderedPageBreak/>
        <w:t>·     Energy Retailer’s risk reporting to Shell will include pass/fail calculations against the deal’s agreed risk limits.</w:t>
      </w:r>
    </w:p>
    <w:p w14:paraId="76D2DFC0" w14:textId="77777777" w:rsidR="00E22634" w:rsidRPr="00812C4C" w:rsidRDefault="00E22634" w:rsidP="00E22634">
      <w:pPr>
        <w:spacing w:after="0" w:line="240" w:lineRule="auto"/>
        <w:ind w:left="272" w:hanging="270"/>
        <w:jc w:val="both"/>
        <w:rPr>
          <w:rFonts w:asciiTheme="minorHAnsi" w:eastAsia="Times New Roman" w:hAnsiTheme="minorHAnsi" w:cstheme="minorHAnsi"/>
          <w:sz w:val="22"/>
          <w:szCs w:val="22"/>
        </w:rPr>
      </w:pPr>
      <w:r w:rsidRPr="00812C4C">
        <w:rPr>
          <w:rFonts w:asciiTheme="minorHAnsi" w:eastAsia="Times New Roman" w:hAnsiTheme="minorHAnsi" w:cstheme="minorHAnsi"/>
          <w:sz w:val="22"/>
          <w:szCs w:val="22"/>
        </w:rPr>
        <w:t>·     Each week Energy Retailer will provide a complete and detailed position report in a form reasonably acceptable to Shell Parties. This report must include a monthly break down of physical fixed price obligations, forecasted variable obligations with associated hedges and basis contract positions by market, zone and location. Periodic risk reviews of position reports will be performed.  Energy Retailer will work to provide Shell with access to the Energy Retailer’s trading risk system and to review these hedge positions.</w:t>
      </w:r>
    </w:p>
    <w:p w14:paraId="12DEB314" w14:textId="70D34B43" w:rsidR="00E22634" w:rsidRPr="006D7E2F" w:rsidRDefault="00E22634" w:rsidP="00E22634">
      <w:pPr>
        <w:spacing w:after="316" w:line="259" w:lineRule="auto"/>
        <w:rPr>
          <w:rFonts w:asciiTheme="minorHAnsi" w:hAnsiTheme="minorHAnsi" w:cstheme="minorHAnsi"/>
          <w:color w:val="000000" w:themeColor="text1"/>
          <w:sz w:val="22"/>
          <w:szCs w:val="22"/>
        </w:rPr>
      </w:pPr>
    </w:p>
    <w:p w14:paraId="74FB3EE6" w14:textId="278E76D1" w:rsidR="006B71DA" w:rsidRPr="006D7E2F" w:rsidRDefault="006B71DA" w:rsidP="003D2389">
      <w:pPr>
        <w:spacing w:after="158" w:line="259" w:lineRule="auto"/>
        <w:ind w:left="0" w:firstLine="0"/>
        <w:rPr>
          <w:b/>
          <w:bCs/>
          <w:color w:val="000000" w:themeColor="text1"/>
          <w:sz w:val="24"/>
          <w:u w:val="single"/>
        </w:rPr>
      </w:pPr>
      <w:r w:rsidRPr="006D7E2F">
        <w:rPr>
          <w:b/>
          <w:bCs/>
          <w:color w:val="000000" w:themeColor="text1"/>
          <w:sz w:val="24"/>
        </w:rPr>
        <w:t>A.6</w:t>
      </w:r>
      <w:r w:rsidRPr="006D7E2F">
        <w:rPr>
          <w:b/>
          <w:bCs/>
          <w:color w:val="000000" w:themeColor="text1"/>
        </w:rPr>
        <w:t xml:space="preserve">    </w:t>
      </w:r>
      <w:r w:rsidRPr="006D7E2F">
        <w:rPr>
          <w:b/>
          <w:bCs/>
          <w:color w:val="000000" w:themeColor="text1"/>
          <w:sz w:val="28"/>
          <w:szCs w:val="28"/>
        </w:rPr>
        <w:t xml:space="preserve">      </w:t>
      </w:r>
      <w:r w:rsidRPr="006D7E2F">
        <w:rPr>
          <w:b/>
          <w:bCs/>
          <w:color w:val="000000" w:themeColor="text1"/>
          <w:sz w:val="24"/>
        </w:rPr>
        <w:t>REC – A</w:t>
      </w:r>
      <w:r w:rsidR="003D2389" w:rsidRPr="006D7E2F">
        <w:rPr>
          <w:b/>
          <w:bCs/>
          <w:color w:val="000000" w:themeColor="text1"/>
          <w:sz w:val="24"/>
        </w:rPr>
        <w:t xml:space="preserve">NCILARY </w:t>
      </w:r>
      <w:r w:rsidRPr="006D7E2F">
        <w:rPr>
          <w:b/>
          <w:bCs/>
          <w:color w:val="000000" w:themeColor="text1"/>
          <w:sz w:val="24"/>
        </w:rPr>
        <w:t>REPORTING - MONITORING</w:t>
      </w:r>
      <w:r w:rsidRPr="006D7E2F">
        <w:rPr>
          <w:b/>
          <w:bCs/>
          <w:color w:val="000000" w:themeColor="text1"/>
          <w:sz w:val="24"/>
          <w:u w:val="single"/>
        </w:rPr>
        <w:t xml:space="preserve"> </w:t>
      </w:r>
    </w:p>
    <w:p w14:paraId="55974861" w14:textId="4794BAF6" w:rsidR="00B118BF" w:rsidRPr="006D7E2F" w:rsidRDefault="00B118BF" w:rsidP="00B118BF">
      <w:pPr>
        <w:pStyle w:val="ListParagraph"/>
        <w:numPr>
          <w:ilvl w:val="0"/>
          <w:numId w:val="13"/>
        </w:numPr>
        <w:spacing w:after="738"/>
        <w:ind w:left="270" w:right="12"/>
        <w:rPr>
          <w:rFonts w:asciiTheme="minorHAnsi" w:hAnsiTheme="minorHAnsi" w:cstheme="minorHAnsi"/>
          <w:color w:val="000000" w:themeColor="text1"/>
          <w:sz w:val="22"/>
          <w:szCs w:val="22"/>
        </w:rPr>
      </w:pPr>
      <w:r w:rsidRPr="006D7E2F">
        <w:rPr>
          <w:rFonts w:asciiTheme="minorHAnsi" w:hAnsiTheme="minorHAnsi" w:cstheme="minorHAnsi"/>
          <w:color w:val="000000" w:themeColor="text1"/>
          <w:sz w:val="22"/>
          <w:szCs w:val="22"/>
        </w:rPr>
        <w:t xml:space="preserve">REC requirements and Ancillary costs are key components of our retail cost of services and therefore merit the necessary oversight and reporting requirements to protect ongoing margins. </w:t>
      </w:r>
    </w:p>
    <w:p w14:paraId="2FD53E0B" w14:textId="2497B77A" w:rsidR="00124002" w:rsidRPr="006D7E2F" w:rsidRDefault="00124002" w:rsidP="00124002">
      <w:pPr>
        <w:pStyle w:val="ListParagraph"/>
        <w:numPr>
          <w:ilvl w:val="0"/>
          <w:numId w:val="13"/>
        </w:numPr>
        <w:spacing w:after="738"/>
        <w:ind w:left="270" w:right="12"/>
        <w:rPr>
          <w:rFonts w:asciiTheme="minorHAnsi" w:hAnsiTheme="minorHAnsi" w:cstheme="minorHAnsi"/>
          <w:color w:val="000000" w:themeColor="text1"/>
          <w:sz w:val="22"/>
          <w:szCs w:val="22"/>
        </w:rPr>
      </w:pPr>
      <w:r w:rsidRPr="006D7E2F">
        <w:rPr>
          <w:rFonts w:asciiTheme="minorHAnsi" w:hAnsiTheme="minorHAnsi" w:cstheme="minorHAnsi"/>
          <w:color w:val="000000" w:themeColor="text1"/>
          <w:sz w:val="22"/>
          <w:szCs w:val="22"/>
        </w:rPr>
        <w:t xml:space="preserve">The current and future value of REC’s and Ancillary costs are actively updated </w:t>
      </w:r>
      <w:r w:rsidR="006F35B6" w:rsidRPr="006D7E2F">
        <w:rPr>
          <w:rFonts w:asciiTheme="minorHAnsi" w:hAnsiTheme="minorHAnsi" w:cstheme="minorHAnsi"/>
          <w:color w:val="000000" w:themeColor="text1"/>
          <w:sz w:val="22"/>
          <w:szCs w:val="22"/>
        </w:rPr>
        <w:t>on</w:t>
      </w:r>
      <w:r w:rsidRPr="006D7E2F">
        <w:rPr>
          <w:rFonts w:asciiTheme="minorHAnsi" w:hAnsiTheme="minorHAnsi" w:cstheme="minorHAnsi"/>
          <w:color w:val="000000" w:themeColor="text1"/>
          <w:sz w:val="22"/>
          <w:szCs w:val="22"/>
        </w:rPr>
        <w:t xml:space="preserve"> all current and future retail pricing proposals -evaluations as a standard operating procedure. </w:t>
      </w:r>
    </w:p>
    <w:p w14:paraId="3D11DA01" w14:textId="031DA4AF" w:rsidR="00303FBF" w:rsidRPr="006D7E2F" w:rsidRDefault="00303FBF" w:rsidP="00303FBF">
      <w:pPr>
        <w:pStyle w:val="ListParagraph"/>
        <w:numPr>
          <w:ilvl w:val="0"/>
          <w:numId w:val="13"/>
        </w:numPr>
        <w:spacing w:after="738"/>
        <w:ind w:left="270" w:right="12"/>
        <w:rPr>
          <w:rFonts w:asciiTheme="minorHAnsi" w:hAnsiTheme="minorHAnsi" w:cstheme="minorHAnsi"/>
          <w:color w:val="000000" w:themeColor="text1"/>
          <w:sz w:val="22"/>
          <w:szCs w:val="22"/>
        </w:rPr>
      </w:pPr>
      <w:r w:rsidRPr="006D7E2F">
        <w:rPr>
          <w:rFonts w:asciiTheme="minorHAnsi" w:hAnsiTheme="minorHAnsi" w:cstheme="minorHAnsi"/>
          <w:color w:val="000000" w:themeColor="text1"/>
          <w:sz w:val="22"/>
          <w:szCs w:val="22"/>
        </w:rPr>
        <w:t xml:space="preserve">The goal is to purchase REC’s and Ancillary hedges regularly though-out the period as material positions are formed </w:t>
      </w:r>
      <w:r w:rsidR="00B118BF" w:rsidRPr="006D7E2F">
        <w:rPr>
          <w:rFonts w:asciiTheme="minorHAnsi" w:hAnsiTheme="minorHAnsi" w:cstheme="minorHAnsi"/>
          <w:color w:val="000000" w:themeColor="text1"/>
          <w:sz w:val="22"/>
          <w:szCs w:val="22"/>
        </w:rPr>
        <w:t xml:space="preserve">through retail activity </w:t>
      </w:r>
      <w:r w:rsidRPr="006D7E2F">
        <w:rPr>
          <w:rFonts w:asciiTheme="minorHAnsi" w:hAnsiTheme="minorHAnsi" w:cstheme="minorHAnsi"/>
          <w:color w:val="000000" w:themeColor="text1"/>
          <w:sz w:val="22"/>
          <w:szCs w:val="22"/>
        </w:rPr>
        <w:t>growt</w:t>
      </w:r>
      <w:r w:rsidR="00B118BF" w:rsidRPr="006D7E2F">
        <w:rPr>
          <w:rFonts w:asciiTheme="minorHAnsi" w:hAnsiTheme="minorHAnsi" w:cstheme="minorHAnsi"/>
          <w:color w:val="000000" w:themeColor="text1"/>
          <w:sz w:val="22"/>
          <w:szCs w:val="22"/>
        </w:rPr>
        <w:t>h</w:t>
      </w:r>
      <w:r w:rsidRPr="006D7E2F">
        <w:rPr>
          <w:rFonts w:asciiTheme="minorHAnsi" w:hAnsiTheme="minorHAnsi" w:cstheme="minorHAnsi"/>
          <w:color w:val="000000" w:themeColor="text1"/>
          <w:sz w:val="22"/>
          <w:szCs w:val="22"/>
        </w:rPr>
        <w:t>.  We are in the business of serving Retail load and we view this activity as a hedging requirement only to protect margins</w:t>
      </w:r>
      <w:r w:rsidR="00B118BF" w:rsidRPr="006D7E2F">
        <w:rPr>
          <w:rFonts w:asciiTheme="minorHAnsi" w:hAnsiTheme="minorHAnsi" w:cstheme="minorHAnsi"/>
          <w:color w:val="000000" w:themeColor="text1"/>
          <w:sz w:val="22"/>
          <w:szCs w:val="22"/>
        </w:rPr>
        <w:t xml:space="preserve">. </w:t>
      </w:r>
    </w:p>
    <w:p w14:paraId="0488B028" w14:textId="6620BA3B" w:rsidR="00E22634" w:rsidRPr="006D7E2F" w:rsidRDefault="00E22634" w:rsidP="00812C4C">
      <w:pPr>
        <w:pStyle w:val="ListParagraph"/>
        <w:numPr>
          <w:ilvl w:val="0"/>
          <w:numId w:val="13"/>
        </w:numPr>
        <w:spacing w:after="316" w:line="259" w:lineRule="auto"/>
        <w:ind w:left="270"/>
        <w:rPr>
          <w:rFonts w:asciiTheme="minorHAnsi" w:hAnsiTheme="minorHAnsi" w:cstheme="minorHAnsi"/>
          <w:color w:val="000000" w:themeColor="text1"/>
          <w:sz w:val="22"/>
          <w:szCs w:val="22"/>
        </w:rPr>
      </w:pPr>
      <w:r w:rsidRPr="006D7E2F">
        <w:rPr>
          <w:rFonts w:asciiTheme="minorHAnsi" w:hAnsiTheme="minorHAnsi" w:cstheme="minorHAnsi"/>
          <w:color w:val="000000" w:themeColor="text1"/>
          <w:sz w:val="22"/>
          <w:szCs w:val="22"/>
        </w:rPr>
        <w:t>Ironhorse will monitor and</w:t>
      </w:r>
      <w:r w:rsidR="006B71DA" w:rsidRPr="006D7E2F">
        <w:rPr>
          <w:rFonts w:asciiTheme="minorHAnsi" w:hAnsiTheme="minorHAnsi" w:cstheme="minorHAnsi"/>
          <w:color w:val="000000" w:themeColor="text1"/>
          <w:sz w:val="22"/>
          <w:szCs w:val="22"/>
        </w:rPr>
        <w:t xml:space="preserve"> provide</w:t>
      </w:r>
      <w:r w:rsidR="00812C4C" w:rsidRPr="006D7E2F">
        <w:rPr>
          <w:rFonts w:asciiTheme="minorHAnsi" w:hAnsiTheme="minorHAnsi" w:cstheme="minorHAnsi"/>
          <w:color w:val="000000" w:themeColor="text1"/>
          <w:sz w:val="22"/>
          <w:szCs w:val="22"/>
        </w:rPr>
        <w:t xml:space="preserve"> </w:t>
      </w:r>
      <w:r w:rsidRPr="006D7E2F">
        <w:rPr>
          <w:rFonts w:asciiTheme="minorHAnsi" w:hAnsiTheme="minorHAnsi" w:cstheme="minorHAnsi"/>
          <w:color w:val="000000" w:themeColor="text1"/>
          <w:sz w:val="22"/>
          <w:szCs w:val="22"/>
        </w:rPr>
        <w:t>a monthly REC requirement position report</w:t>
      </w:r>
      <w:r w:rsidR="00812C4C" w:rsidRPr="006D7E2F">
        <w:rPr>
          <w:rFonts w:asciiTheme="minorHAnsi" w:hAnsiTheme="minorHAnsi" w:cstheme="minorHAnsi"/>
          <w:color w:val="000000" w:themeColor="text1"/>
          <w:sz w:val="22"/>
          <w:szCs w:val="22"/>
        </w:rPr>
        <w:t xml:space="preserve"> (mandatory </w:t>
      </w:r>
      <w:r w:rsidR="00124002" w:rsidRPr="006D7E2F">
        <w:rPr>
          <w:rFonts w:asciiTheme="minorHAnsi" w:hAnsiTheme="minorHAnsi" w:cstheme="minorHAnsi"/>
          <w:color w:val="000000" w:themeColor="text1"/>
          <w:sz w:val="22"/>
          <w:szCs w:val="22"/>
        </w:rPr>
        <w:t>/</w:t>
      </w:r>
      <w:r w:rsidR="00812C4C" w:rsidRPr="006D7E2F">
        <w:rPr>
          <w:rFonts w:asciiTheme="minorHAnsi" w:hAnsiTheme="minorHAnsi" w:cstheme="minorHAnsi"/>
          <w:color w:val="000000" w:themeColor="text1"/>
          <w:sz w:val="22"/>
          <w:szCs w:val="22"/>
        </w:rPr>
        <w:t>voluntary)</w:t>
      </w:r>
      <w:r w:rsidRPr="006D7E2F">
        <w:rPr>
          <w:rFonts w:asciiTheme="minorHAnsi" w:hAnsiTheme="minorHAnsi" w:cstheme="minorHAnsi"/>
          <w:color w:val="000000" w:themeColor="text1"/>
          <w:sz w:val="22"/>
          <w:szCs w:val="22"/>
        </w:rPr>
        <w:t xml:space="preserve"> for all requirements incurred to date a</w:t>
      </w:r>
      <w:r w:rsidR="00D31890" w:rsidRPr="006D7E2F">
        <w:rPr>
          <w:rFonts w:asciiTheme="minorHAnsi" w:hAnsiTheme="minorHAnsi" w:cstheme="minorHAnsi"/>
          <w:color w:val="000000" w:themeColor="text1"/>
          <w:sz w:val="22"/>
          <w:szCs w:val="22"/>
        </w:rPr>
        <w:t xml:space="preserve">long with a </w:t>
      </w:r>
      <w:r w:rsidRPr="006D7E2F">
        <w:rPr>
          <w:rFonts w:asciiTheme="minorHAnsi" w:hAnsiTheme="minorHAnsi" w:cstheme="minorHAnsi"/>
          <w:color w:val="000000" w:themeColor="text1"/>
          <w:sz w:val="22"/>
          <w:szCs w:val="22"/>
        </w:rPr>
        <w:t>forecast quarterly retirement projection.</w:t>
      </w:r>
    </w:p>
    <w:p w14:paraId="74FF2DCE" w14:textId="463A9B21" w:rsidR="003D2389" w:rsidRPr="006D7E2F" w:rsidRDefault="00E22634" w:rsidP="00812C4C">
      <w:pPr>
        <w:pStyle w:val="ListParagraph"/>
        <w:numPr>
          <w:ilvl w:val="0"/>
          <w:numId w:val="13"/>
        </w:numPr>
        <w:spacing w:after="738"/>
        <w:ind w:left="270" w:right="12"/>
        <w:rPr>
          <w:rFonts w:asciiTheme="minorHAnsi" w:hAnsiTheme="minorHAnsi" w:cstheme="minorHAnsi"/>
          <w:color w:val="000000" w:themeColor="text1"/>
          <w:sz w:val="22"/>
          <w:szCs w:val="22"/>
        </w:rPr>
      </w:pPr>
      <w:r w:rsidRPr="006D7E2F">
        <w:rPr>
          <w:rFonts w:asciiTheme="minorHAnsi" w:hAnsiTheme="minorHAnsi" w:cstheme="minorHAnsi"/>
          <w:color w:val="000000" w:themeColor="text1"/>
          <w:sz w:val="22"/>
          <w:szCs w:val="22"/>
        </w:rPr>
        <w:t xml:space="preserve">The </w:t>
      </w:r>
      <w:r w:rsidR="00D31890" w:rsidRPr="006D7E2F">
        <w:rPr>
          <w:rFonts w:asciiTheme="minorHAnsi" w:hAnsiTheme="minorHAnsi" w:cstheme="minorHAnsi"/>
          <w:color w:val="000000" w:themeColor="text1"/>
          <w:sz w:val="22"/>
          <w:szCs w:val="22"/>
        </w:rPr>
        <w:t xml:space="preserve">REC </w:t>
      </w:r>
      <w:r w:rsidRPr="006D7E2F">
        <w:rPr>
          <w:rFonts w:asciiTheme="minorHAnsi" w:hAnsiTheme="minorHAnsi" w:cstheme="minorHAnsi"/>
          <w:color w:val="000000" w:themeColor="text1"/>
          <w:sz w:val="22"/>
          <w:szCs w:val="22"/>
        </w:rPr>
        <w:t xml:space="preserve">report is </w:t>
      </w:r>
      <w:r w:rsidR="00B118BF" w:rsidRPr="006D7E2F">
        <w:rPr>
          <w:rFonts w:asciiTheme="minorHAnsi" w:hAnsiTheme="minorHAnsi" w:cstheme="minorHAnsi"/>
          <w:color w:val="000000" w:themeColor="text1"/>
          <w:sz w:val="22"/>
          <w:szCs w:val="22"/>
        </w:rPr>
        <w:t xml:space="preserve">currently </w:t>
      </w:r>
      <w:r w:rsidRPr="006D7E2F">
        <w:rPr>
          <w:rFonts w:asciiTheme="minorHAnsi" w:hAnsiTheme="minorHAnsi" w:cstheme="minorHAnsi"/>
          <w:color w:val="000000" w:themeColor="text1"/>
          <w:sz w:val="22"/>
          <w:szCs w:val="22"/>
        </w:rPr>
        <w:t>active within the POWWR DFS risk management system and is updated daily</w:t>
      </w:r>
      <w:r w:rsidR="00D31890" w:rsidRPr="006D7E2F">
        <w:rPr>
          <w:rFonts w:asciiTheme="minorHAnsi" w:hAnsiTheme="minorHAnsi" w:cstheme="minorHAnsi"/>
          <w:color w:val="000000" w:themeColor="text1"/>
          <w:sz w:val="22"/>
          <w:szCs w:val="22"/>
        </w:rPr>
        <w:t xml:space="preserve"> for current enrolments.  POWWR will work with </w:t>
      </w:r>
      <w:r w:rsidR="00B118BF" w:rsidRPr="006D7E2F">
        <w:rPr>
          <w:rFonts w:asciiTheme="minorHAnsi" w:hAnsiTheme="minorHAnsi" w:cstheme="minorHAnsi"/>
          <w:color w:val="000000" w:themeColor="text1"/>
          <w:sz w:val="22"/>
          <w:szCs w:val="22"/>
        </w:rPr>
        <w:t xml:space="preserve">approved </w:t>
      </w:r>
      <w:r w:rsidR="00D31890" w:rsidRPr="006D7E2F">
        <w:rPr>
          <w:rFonts w:asciiTheme="minorHAnsi" w:hAnsiTheme="minorHAnsi" w:cstheme="minorHAnsi"/>
          <w:color w:val="000000" w:themeColor="text1"/>
          <w:sz w:val="22"/>
          <w:szCs w:val="22"/>
        </w:rPr>
        <w:t xml:space="preserve">brokers </w:t>
      </w:r>
      <w:r w:rsidR="006B71DA" w:rsidRPr="006D7E2F">
        <w:rPr>
          <w:rFonts w:asciiTheme="minorHAnsi" w:hAnsiTheme="minorHAnsi" w:cstheme="minorHAnsi"/>
          <w:color w:val="000000" w:themeColor="text1"/>
          <w:sz w:val="22"/>
          <w:szCs w:val="22"/>
        </w:rPr>
        <w:t xml:space="preserve">to facilitate REC acquisition </w:t>
      </w:r>
      <w:r w:rsidR="00B118BF" w:rsidRPr="006D7E2F">
        <w:rPr>
          <w:rFonts w:asciiTheme="minorHAnsi" w:hAnsiTheme="minorHAnsi" w:cstheme="minorHAnsi"/>
          <w:color w:val="000000" w:themeColor="text1"/>
          <w:sz w:val="22"/>
          <w:szCs w:val="22"/>
        </w:rPr>
        <w:t>with proper oversight provided by the Ironhorse risk team.</w:t>
      </w:r>
      <w:r w:rsidR="003D2389" w:rsidRPr="006D7E2F">
        <w:rPr>
          <w:rFonts w:asciiTheme="minorHAnsi" w:hAnsiTheme="minorHAnsi" w:cstheme="minorHAnsi"/>
          <w:color w:val="000000" w:themeColor="text1"/>
          <w:sz w:val="22"/>
          <w:szCs w:val="22"/>
        </w:rPr>
        <w:t xml:space="preserve"> </w:t>
      </w:r>
    </w:p>
    <w:p w14:paraId="515E0FF6" w14:textId="2E342CF5" w:rsidR="00B118BF" w:rsidRPr="006D7E2F" w:rsidRDefault="00B118BF" w:rsidP="00812C4C">
      <w:pPr>
        <w:pStyle w:val="ListParagraph"/>
        <w:numPr>
          <w:ilvl w:val="0"/>
          <w:numId w:val="13"/>
        </w:numPr>
        <w:spacing w:after="738"/>
        <w:ind w:left="270" w:right="12"/>
        <w:rPr>
          <w:rFonts w:asciiTheme="minorHAnsi" w:hAnsiTheme="minorHAnsi" w:cstheme="minorHAnsi"/>
          <w:color w:val="000000" w:themeColor="text1"/>
          <w:sz w:val="22"/>
          <w:szCs w:val="22"/>
        </w:rPr>
      </w:pPr>
      <w:r w:rsidRPr="006D7E2F">
        <w:rPr>
          <w:rFonts w:asciiTheme="minorHAnsi" w:hAnsiTheme="minorHAnsi" w:cstheme="minorHAnsi"/>
          <w:color w:val="000000" w:themeColor="text1"/>
          <w:sz w:val="22"/>
          <w:szCs w:val="22"/>
        </w:rPr>
        <w:t xml:space="preserve">All transactions will be </w:t>
      </w:r>
      <w:r w:rsidR="002019D0" w:rsidRPr="006D7E2F">
        <w:rPr>
          <w:rFonts w:asciiTheme="minorHAnsi" w:hAnsiTheme="minorHAnsi" w:cstheme="minorHAnsi"/>
          <w:color w:val="000000" w:themeColor="text1"/>
          <w:sz w:val="22"/>
          <w:szCs w:val="22"/>
        </w:rPr>
        <w:t>position monitored as to position</w:t>
      </w:r>
      <w:r w:rsidR="00BB5D56" w:rsidRPr="006D7E2F">
        <w:rPr>
          <w:rFonts w:asciiTheme="minorHAnsi" w:hAnsiTheme="minorHAnsi" w:cstheme="minorHAnsi"/>
          <w:color w:val="000000" w:themeColor="text1"/>
          <w:sz w:val="22"/>
          <w:szCs w:val="22"/>
        </w:rPr>
        <w:t xml:space="preserve"> </w:t>
      </w:r>
      <w:r w:rsidR="002019D0" w:rsidRPr="006D7E2F">
        <w:rPr>
          <w:rFonts w:asciiTheme="minorHAnsi" w:hAnsiTheme="minorHAnsi" w:cstheme="minorHAnsi"/>
          <w:color w:val="000000" w:themeColor="text1"/>
          <w:sz w:val="22"/>
          <w:szCs w:val="22"/>
        </w:rPr>
        <w:t xml:space="preserve">balance </w:t>
      </w:r>
      <w:r w:rsidR="006F35B6" w:rsidRPr="006D7E2F">
        <w:rPr>
          <w:rFonts w:asciiTheme="minorHAnsi" w:hAnsiTheme="minorHAnsi" w:cstheme="minorHAnsi"/>
          <w:color w:val="000000" w:themeColor="text1"/>
          <w:sz w:val="22"/>
          <w:szCs w:val="22"/>
        </w:rPr>
        <w:t>maintenance</w:t>
      </w:r>
      <w:r w:rsidR="002019D0" w:rsidRPr="006D7E2F">
        <w:rPr>
          <w:rFonts w:asciiTheme="minorHAnsi" w:hAnsiTheme="minorHAnsi" w:cstheme="minorHAnsi"/>
          <w:color w:val="000000" w:themeColor="text1"/>
          <w:sz w:val="22"/>
          <w:szCs w:val="22"/>
        </w:rPr>
        <w:t xml:space="preserve"> – exposure and the price position will be MTM and evaluated on </w:t>
      </w:r>
      <w:proofErr w:type="spellStart"/>
      <w:r w:rsidR="002019D0" w:rsidRPr="006D7E2F">
        <w:rPr>
          <w:rFonts w:asciiTheme="minorHAnsi" w:hAnsiTheme="minorHAnsi" w:cstheme="minorHAnsi"/>
          <w:color w:val="000000" w:themeColor="text1"/>
          <w:sz w:val="22"/>
          <w:szCs w:val="22"/>
        </w:rPr>
        <w:t>a</w:t>
      </w:r>
      <w:proofErr w:type="spellEnd"/>
      <w:r w:rsidR="002019D0" w:rsidRPr="006D7E2F">
        <w:rPr>
          <w:rFonts w:asciiTheme="minorHAnsi" w:hAnsiTheme="minorHAnsi" w:cstheme="minorHAnsi"/>
          <w:color w:val="000000" w:themeColor="text1"/>
          <w:sz w:val="22"/>
          <w:szCs w:val="22"/>
        </w:rPr>
        <w:t xml:space="preserve"> ongoing basis. </w:t>
      </w:r>
    </w:p>
    <w:p w14:paraId="1B3AED3C" w14:textId="63F31C96" w:rsidR="00D32D8F" w:rsidRPr="00812C4C" w:rsidRDefault="00D32D8F" w:rsidP="00D32D8F">
      <w:pPr>
        <w:spacing w:after="738"/>
        <w:ind w:left="720" w:right="12" w:firstLine="0"/>
        <w:rPr>
          <w:rFonts w:asciiTheme="minorHAnsi" w:hAnsiTheme="minorHAnsi" w:cstheme="minorHAnsi"/>
          <w:sz w:val="22"/>
          <w:szCs w:val="22"/>
        </w:rPr>
      </w:pPr>
    </w:p>
    <w:p w14:paraId="009C9B9C" w14:textId="130A5F7B" w:rsidR="00E22634" w:rsidRPr="00812C4C" w:rsidRDefault="00E22634" w:rsidP="00D32D8F">
      <w:pPr>
        <w:spacing w:after="738"/>
        <w:ind w:left="720" w:right="12" w:firstLine="0"/>
        <w:rPr>
          <w:rFonts w:asciiTheme="minorHAnsi" w:hAnsiTheme="minorHAnsi" w:cstheme="minorHAnsi"/>
          <w:sz w:val="22"/>
          <w:szCs w:val="22"/>
        </w:rPr>
      </w:pPr>
    </w:p>
    <w:p w14:paraId="0FFDA0D1" w14:textId="100F3A92" w:rsidR="00E22634" w:rsidRPr="00812C4C" w:rsidRDefault="00E22634" w:rsidP="00D32D8F">
      <w:pPr>
        <w:spacing w:after="738"/>
        <w:ind w:left="720" w:right="12" w:firstLine="0"/>
        <w:rPr>
          <w:rFonts w:asciiTheme="minorHAnsi" w:hAnsiTheme="minorHAnsi" w:cstheme="minorHAnsi"/>
          <w:sz w:val="22"/>
          <w:szCs w:val="22"/>
        </w:rPr>
      </w:pPr>
    </w:p>
    <w:p w14:paraId="3346BD8E" w14:textId="3BE2CFDC" w:rsidR="00E22634" w:rsidRDefault="00E22634" w:rsidP="00D32D8F">
      <w:pPr>
        <w:spacing w:after="738"/>
        <w:ind w:left="720" w:right="12" w:firstLine="0"/>
      </w:pPr>
    </w:p>
    <w:p w14:paraId="60AB82BB" w14:textId="2EC333C6" w:rsidR="00E22634" w:rsidRDefault="00E22634" w:rsidP="002019D0">
      <w:pPr>
        <w:spacing w:after="738"/>
        <w:ind w:left="0" w:right="12" w:firstLine="0"/>
      </w:pPr>
    </w:p>
    <w:p w14:paraId="5615E0B3" w14:textId="2B81ED75" w:rsidR="00993F1F" w:rsidRPr="00D31890" w:rsidRDefault="00993F1F" w:rsidP="003A5465">
      <w:pPr>
        <w:spacing w:after="149" w:line="259" w:lineRule="auto"/>
        <w:ind w:left="0" w:right="522" w:firstLine="0"/>
      </w:pPr>
    </w:p>
    <w:p w14:paraId="6EB9D081" w14:textId="59E58B17" w:rsidR="00011D24" w:rsidRDefault="00BC5D66">
      <w:pPr>
        <w:spacing w:after="307" w:line="259" w:lineRule="auto"/>
        <w:ind w:left="10"/>
      </w:pPr>
      <w:r>
        <w:rPr>
          <w:b/>
          <w:i/>
          <w:sz w:val="22"/>
        </w:rPr>
        <w:t xml:space="preserve">APPENDIX B: APPROVED RISK LIMITS </w:t>
      </w:r>
    </w:p>
    <w:p w14:paraId="6980D46E" w14:textId="77777777" w:rsidR="00011D24" w:rsidRDefault="00BC5D66">
      <w:pPr>
        <w:pStyle w:val="Heading2"/>
        <w:tabs>
          <w:tab w:val="center" w:pos="441"/>
          <w:tab w:val="center" w:pos="2284"/>
        </w:tabs>
        <w:ind w:left="0" w:firstLine="0"/>
      </w:pPr>
      <w:r>
        <w:rPr>
          <w:rFonts w:ascii="Calibri" w:eastAsia="Calibri" w:hAnsi="Calibri" w:cs="Calibri"/>
          <w:b w:val="0"/>
        </w:rPr>
        <w:tab/>
      </w:r>
      <w:r>
        <w:t xml:space="preserve">B.1 </w:t>
      </w:r>
      <w:r>
        <w:tab/>
        <w:t xml:space="preserve">LIMITS OF AUTHORITY </w:t>
      </w:r>
    </w:p>
    <w:p w14:paraId="0E626BA3" w14:textId="77777777" w:rsidR="00011D24" w:rsidRDefault="00BC5D66">
      <w:pPr>
        <w:ind w:left="10" w:right="12"/>
      </w:pPr>
      <w:r>
        <w:t xml:space="preserve">These Limits are designed as a control mechanism; and are not intended to prevent appropriate transactions. </w:t>
      </w:r>
    </w:p>
    <w:p w14:paraId="70C8005D" w14:textId="77777777" w:rsidR="00011D24" w:rsidRDefault="00BC5D66">
      <w:pPr>
        <w:spacing w:after="240" w:line="239" w:lineRule="auto"/>
        <w:ind w:left="0" w:firstLine="0"/>
      </w:pPr>
      <w:r>
        <w:rPr>
          <w:b/>
        </w:rPr>
        <w:t xml:space="preserve">CEO Authority is only for delegation purposes if needed and not for the intention of an actual execution </w:t>
      </w:r>
      <w:proofErr w:type="gramStart"/>
      <w:r>
        <w:rPr>
          <w:b/>
        </w:rPr>
        <w:t>role.*</w:t>
      </w:r>
      <w:proofErr w:type="gramEnd"/>
      <w:r>
        <w:rPr>
          <w:b/>
        </w:rPr>
        <w:t xml:space="preserve"> </w:t>
      </w:r>
    </w:p>
    <w:p w14:paraId="43C2D9CF" w14:textId="77777777" w:rsidR="00011D24" w:rsidRDefault="00BC5D66">
      <w:pPr>
        <w:ind w:left="10" w:right="12"/>
      </w:pPr>
      <w:r>
        <w:t xml:space="preserve">The Limits of Authority outlined below relate to transaction execution authority.  The Signature Authority Limits Policy determines the authority to execute contracts on behalf of IHPS.  </w:t>
      </w:r>
    </w:p>
    <w:p w14:paraId="252AB4F0" w14:textId="77777777" w:rsidR="00011D24" w:rsidRDefault="00BC5D66">
      <w:pPr>
        <w:spacing w:after="258" w:line="259" w:lineRule="auto"/>
        <w:ind w:left="720" w:firstLine="0"/>
      </w:pPr>
      <w:r>
        <w:t xml:space="preserve"> </w:t>
      </w:r>
    </w:p>
    <w:p w14:paraId="35053826" w14:textId="77777777" w:rsidR="00DC5DE7" w:rsidRDefault="00BC5D66">
      <w:pPr>
        <w:spacing w:after="0" w:line="259" w:lineRule="auto"/>
        <w:ind w:left="0" w:firstLine="0"/>
        <w:rPr>
          <w:b/>
          <w:sz w:val="24"/>
        </w:rPr>
      </w:pPr>
      <w:r>
        <w:rPr>
          <w:b/>
          <w:sz w:val="24"/>
          <w:u w:val="single" w:color="000000"/>
        </w:rPr>
        <w:t>Net Open Position Bandwidth – Single trade notional and duration limit</w:t>
      </w:r>
      <w:r>
        <w:rPr>
          <w:b/>
          <w:sz w:val="24"/>
        </w:rPr>
        <w:t xml:space="preserve"> </w:t>
      </w:r>
    </w:p>
    <w:p w14:paraId="726C33C0" w14:textId="46E27718" w:rsidR="00011D24" w:rsidRDefault="00DC5DE7">
      <w:pPr>
        <w:spacing w:after="0" w:line="259" w:lineRule="auto"/>
        <w:ind w:left="0" w:firstLine="0"/>
        <w:rPr>
          <w:b/>
          <w:sz w:val="24"/>
        </w:rPr>
      </w:pPr>
      <w:r>
        <w:rPr>
          <w:b/>
          <w:sz w:val="24"/>
        </w:rPr>
        <w:t>Weather backcast normalized:</w:t>
      </w:r>
    </w:p>
    <w:p w14:paraId="7730155A" w14:textId="0AB00CF8" w:rsidR="003F5B79" w:rsidRDefault="003F5B79">
      <w:pPr>
        <w:spacing w:after="0" w:line="259" w:lineRule="auto"/>
        <w:ind w:left="0" w:firstLine="0"/>
        <w:rPr>
          <w:b/>
        </w:rPr>
      </w:pPr>
    </w:p>
    <w:p w14:paraId="1EEE2F88" w14:textId="77777777" w:rsidR="003F5B79" w:rsidRDefault="003F5B79">
      <w:pPr>
        <w:spacing w:after="0" w:line="259" w:lineRule="auto"/>
        <w:ind w:left="0" w:firstLine="0"/>
      </w:pPr>
    </w:p>
    <w:tbl>
      <w:tblPr>
        <w:tblStyle w:val="TableGrid"/>
        <w:tblW w:w="9806" w:type="dxa"/>
        <w:tblInd w:w="-341" w:type="dxa"/>
        <w:tblCellMar>
          <w:top w:w="6" w:type="dxa"/>
          <w:left w:w="72" w:type="dxa"/>
          <w:bottom w:w="5" w:type="dxa"/>
          <w:right w:w="67" w:type="dxa"/>
        </w:tblCellMar>
        <w:tblLook w:val="04A0" w:firstRow="1" w:lastRow="0" w:firstColumn="1" w:lastColumn="0" w:noHBand="0" w:noVBand="1"/>
      </w:tblPr>
      <w:tblGrid>
        <w:gridCol w:w="354"/>
        <w:gridCol w:w="1390"/>
        <w:gridCol w:w="748"/>
        <w:gridCol w:w="1446"/>
        <w:gridCol w:w="5868"/>
      </w:tblGrid>
      <w:tr w:rsidR="00011D24" w14:paraId="48BE0F5A" w14:textId="77777777" w:rsidTr="003F5B79">
        <w:trPr>
          <w:trHeight w:val="461"/>
        </w:trPr>
        <w:tc>
          <w:tcPr>
            <w:tcW w:w="354" w:type="dxa"/>
            <w:vMerge w:val="restart"/>
            <w:tcBorders>
              <w:top w:val="nil"/>
              <w:left w:val="nil"/>
              <w:bottom w:val="single" w:sz="8" w:space="0" w:color="000000"/>
              <w:right w:val="single" w:sz="8" w:space="0" w:color="000000"/>
            </w:tcBorders>
          </w:tcPr>
          <w:p w14:paraId="3C0A416A" w14:textId="77777777" w:rsidR="00011D24" w:rsidRDefault="00011D24">
            <w:pPr>
              <w:spacing w:after="160" w:line="259" w:lineRule="auto"/>
              <w:ind w:left="0" w:firstLine="0"/>
            </w:pPr>
          </w:p>
        </w:tc>
        <w:tc>
          <w:tcPr>
            <w:tcW w:w="1390" w:type="dxa"/>
            <w:tcBorders>
              <w:top w:val="single" w:sz="8" w:space="0" w:color="000000"/>
              <w:left w:val="single" w:sz="8" w:space="0" w:color="000000"/>
              <w:bottom w:val="single" w:sz="6" w:space="0" w:color="000000"/>
              <w:right w:val="single" w:sz="6" w:space="0" w:color="000000"/>
            </w:tcBorders>
            <w:shd w:val="clear" w:color="auto" w:fill="BFBFBF"/>
            <w:vAlign w:val="bottom"/>
          </w:tcPr>
          <w:p w14:paraId="707C524D" w14:textId="19874515" w:rsidR="00011D24" w:rsidRDefault="00AA7B7E">
            <w:pPr>
              <w:spacing w:after="0" w:line="259" w:lineRule="auto"/>
              <w:ind w:left="0" w:right="4" w:firstLine="0"/>
              <w:jc w:val="center"/>
            </w:pPr>
            <w:r>
              <w:t>Contract Type</w:t>
            </w:r>
          </w:p>
        </w:tc>
        <w:tc>
          <w:tcPr>
            <w:tcW w:w="2194" w:type="dxa"/>
            <w:gridSpan w:val="2"/>
            <w:tcBorders>
              <w:top w:val="single" w:sz="8" w:space="0" w:color="000000"/>
              <w:left w:val="single" w:sz="6" w:space="0" w:color="000000"/>
              <w:bottom w:val="single" w:sz="6" w:space="0" w:color="000000"/>
              <w:right w:val="single" w:sz="6" w:space="0" w:color="000000"/>
            </w:tcBorders>
            <w:shd w:val="clear" w:color="auto" w:fill="BFBFBF"/>
            <w:vAlign w:val="bottom"/>
          </w:tcPr>
          <w:p w14:paraId="6C6E4928" w14:textId="77777777" w:rsidR="00011D24" w:rsidRDefault="00BC5D66">
            <w:pPr>
              <w:spacing w:after="0" w:line="259" w:lineRule="auto"/>
              <w:ind w:left="0" w:firstLine="0"/>
              <w:jc w:val="center"/>
            </w:pPr>
            <w:r>
              <w:rPr>
                <w:b/>
                <w:sz w:val="18"/>
              </w:rPr>
              <w:t xml:space="preserve">IHPS COO </w:t>
            </w:r>
          </w:p>
        </w:tc>
        <w:tc>
          <w:tcPr>
            <w:tcW w:w="5868" w:type="dxa"/>
            <w:vMerge w:val="restart"/>
            <w:tcBorders>
              <w:top w:val="nil"/>
              <w:left w:val="single" w:sz="6" w:space="0" w:color="000000"/>
              <w:bottom w:val="single" w:sz="8" w:space="0" w:color="000000"/>
              <w:right w:val="nil"/>
            </w:tcBorders>
          </w:tcPr>
          <w:p w14:paraId="45829D0F" w14:textId="77777777" w:rsidR="00011D24" w:rsidRDefault="00011D24">
            <w:pPr>
              <w:spacing w:after="160" w:line="259" w:lineRule="auto"/>
              <w:ind w:left="0" w:firstLine="0"/>
            </w:pPr>
          </w:p>
          <w:p w14:paraId="4FDA7869" w14:textId="77777777" w:rsidR="003F5B79" w:rsidRDefault="003F5B79">
            <w:pPr>
              <w:spacing w:after="160" w:line="259" w:lineRule="auto"/>
              <w:ind w:left="0" w:firstLine="0"/>
            </w:pPr>
          </w:p>
          <w:p w14:paraId="38A4C4C7" w14:textId="77777777" w:rsidR="003F5B79" w:rsidRDefault="003F5B79">
            <w:pPr>
              <w:spacing w:after="160" w:line="259" w:lineRule="auto"/>
              <w:ind w:left="0" w:firstLine="0"/>
            </w:pPr>
          </w:p>
          <w:p w14:paraId="5DF98707" w14:textId="3645C9E1" w:rsidR="00756346" w:rsidRDefault="00756346">
            <w:pPr>
              <w:spacing w:after="160" w:line="259" w:lineRule="auto"/>
              <w:ind w:left="0" w:firstLine="0"/>
            </w:pPr>
          </w:p>
        </w:tc>
      </w:tr>
      <w:tr w:rsidR="00011D24" w14:paraId="44DCEF4F" w14:textId="77777777">
        <w:trPr>
          <w:trHeight w:val="463"/>
        </w:trPr>
        <w:tc>
          <w:tcPr>
            <w:tcW w:w="0" w:type="auto"/>
            <w:vMerge/>
            <w:tcBorders>
              <w:top w:val="nil"/>
              <w:left w:val="nil"/>
              <w:bottom w:val="nil"/>
              <w:right w:val="single" w:sz="8" w:space="0" w:color="000000"/>
            </w:tcBorders>
          </w:tcPr>
          <w:p w14:paraId="3E5FDA8B" w14:textId="77777777" w:rsidR="00011D24" w:rsidRDefault="00011D24">
            <w:pPr>
              <w:spacing w:after="160" w:line="259" w:lineRule="auto"/>
              <w:ind w:left="0" w:firstLine="0"/>
            </w:pPr>
          </w:p>
        </w:tc>
        <w:tc>
          <w:tcPr>
            <w:tcW w:w="1390" w:type="dxa"/>
            <w:tcBorders>
              <w:top w:val="single" w:sz="6" w:space="0" w:color="000000"/>
              <w:left w:val="single" w:sz="8" w:space="0" w:color="000000"/>
              <w:bottom w:val="single" w:sz="6" w:space="0" w:color="000000"/>
              <w:right w:val="single" w:sz="6" w:space="0" w:color="000000"/>
            </w:tcBorders>
            <w:shd w:val="clear" w:color="auto" w:fill="BFBFBF"/>
            <w:vAlign w:val="bottom"/>
          </w:tcPr>
          <w:p w14:paraId="7E4FE115" w14:textId="77777777" w:rsidR="00011D24" w:rsidRDefault="00BC5D66">
            <w:pPr>
              <w:spacing w:after="0" w:line="259" w:lineRule="auto"/>
              <w:ind w:left="46" w:firstLine="0"/>
              <w:jc w:val="center"/>
            </w:pPr>
            <w:r>
              <w:rPr>
                <w:b/>
                <w:sz w:val="18"/>
              </w:rPr>
              <w:t xml:space="preserve"> </w:t>
            </w:r>
          </w:p>
        </w:tc>
        <w:tc>
          <w:tcPr>
            <w:tcW w:w="2194" w:type="dxa"/>
            <w:gridSpan w:val="2"/>
            <w:tcBorders>
              <w:top w:val="single" w:sz="6" w:space="0" w:color="000000"/>
              <w:left w:val="single" w:sz="6" w:space="0" w:color="000000"/>
              <w:bottom w:val="single" w:sz="6" w:space="0" w:color="000000"/>
              <w:right w:val="single" w:sz="6" w:space="0" w:color="000000"/>
            </w:tcBorders>
            <w:shd w:val="clear" w:color="auto" w:fill="BFBFBF"/>
            <w:vAlign w:val="bottom"/>
          </w:tcPr>
          <w:p w14:paraId="597AD39F" w14:textId="77777777" w:rsidR="00011D24" w:rsidRDefault="00BC5D66">
            <w:pPr>
              <w:spacing w:after="0" w:line="259" w:lineRule="auto"/>
              <w:ind w:left="0" w:right="1" w:firstLine="0"/>
              <w:jc w:val="center"/>
            </w:pPr>
            <w:r>
              <w:rPr>
                <w:b/>
                <w:sz w:val="18"/>
              </w:rPr>
              <w:t xml:space="preserve">Net Position </w:t>
            </w:r>
          </w:p>
        </w:tc>
        <w:tc>
          <w:tcPr>
            <w:tcW w:w="0" w:type="auto"/>
            <w:vMerge/>
            <w:tcBorders>
              <w:top w:val="nil"/>
              <w:left w:val="single" w:sz="6" w:space="0" w:color="000000"/>
              <w:bottom w:val="nil"/>
              <w:right w:val="nil"/>
            </w:tcBorders>
          </w:tcPr>
          <w:p w14:paraId="5815514E" w14:textId="77777777" w:rsidR="00011D24" w:rsidRDefault="00011D24">
            <w:pPr>
              <w:spacing w:after="160" w:line="259" w:lineRule="auto"/>
              <w:ind w:left="0" w:firstLine="0"/>
            </w:pPr>
          </w:p>
        </w:tc>
      </w:tr>
      <w:tr w:rsidR="00011D24" w14:paraId="3919EB6C" w14:textId="77777777" w:rsidTr="003F5B79">
        <w:trPr>
          <w:trHeight w:val="461"/>
        </w:trPr>
        <w:tc>
          <w:tcPr>
            <w:tcW w:w="0" w:type="auto"/>
            <w:vMerge/>
            <w:tcBorders>
              <w:top w:val="nil"/>
              <w:left w:val="nil"/>
              <w:bottom w:val="nil"/>
              <w:right w:val="single" w:sz="8" w:space="0" w:color="000000"/>
            </w:tcBorders>
          </w:tcPr>
          <w:p w14:paraId="6AD57899" w14:textId="77777777" w:rsidR="00011D24" w:rsidRDefault="00011D24">
            <w:pPr>
              <w:spacing w:after="160" w:line="259" w:lineRule="auto"/>
              <w:ind w:left="0" w:firstLine="0"/>
            </w:pPr>
          </w:p>
        </w:tc>
        <w:tc>
          <w:tcPr>
            <w:tcW w:w="1390" w:type="dxa"/>
            <w:tcBorders>
              <w:top w:val="single" w:sz="6" w:space="0" w:color="000000"/>
              <w:left w:val="single" w:sz="8" w:space="0" w:color="000000"/>
              <w:bottom w:val="single" w:sz="6" w:space="0" w:color="000000"/>
              <w:right w:val="single" w:sz="6" w:space="0" w:color="000000"/>
            </w:tcBorders>
            <w:shd w:val="clear" w:color="auto" w:fill="BFBFBF"/>
            <w:vAlign w:val="bottom"/>
          </w:tcPr>
          <w:p w14:paraId="1A8069B0" w14:textId="77777777" w:rsidR="00011D24" w:rsidRDefault="00BC5D66">
            <w:pPr>
              <w:spacing w:after="0" w:line="259" w:lineRule="auto"/>
              <w:ind w:left="46" w:firstLine="0"/>
              <w:jc w:val="center"/>
            </w:pPr>
            <w:r>
              <w:rPr>
                <w:b/>
                <w:sz w:val="18"/>
              </w:rPr>
              <w:t xml:space="preserve">  </w:t>
            </w:r>
          </w:p>
        </w:tc>
        <w:tc>
          <w:tcPr>
            <w:tcW w:w="748" w:type="dxa"/>
            <w:tcBorders>
              <w:top w:val="single" w:sz="6" w:space="0" w:color="000000"/>
              <w:left w:val="single" w:sz="6" w:space="0" w:color="000000"/>
              <w:bottom w:val="single" w:sz="6" w:space="0" w:color="000000"/>
              <w:right w:val="single" w:sz="6" w:space="0" w:color="000000"/>
            </w:tcBorders>
            <w:shd w:val="clear" w:color="auto" w:fill="BFBFBF"/>
            <w:vAlign w:val="bottom"/>
          </w:tcPr>
          <w:p w14:paraId="4B635230" w14:textId="77777777" w:rsidR="00011D24" w:rsidRDefault="00BC5D66">
            <w:pPr>
              <w:spacing w:after="0" w:line="259" w:lineRule="auto"/>
              <w:ind w:left="0" w:right="3" w:firstLine="0"/>
              <w:jc w:val="center"/>
            </w:pPr>
            <w:r>
              <w:rPr>
                <w:b/>
                <w:sz w:val="18"/>
              </w:rPr>
              <w:t xml:space="preserve">min </w:t>
            </w:r>
          </w:p>
        </w:tc>
        <w:tc>
          <w:tcPr>
            <w:tcW w:w="1446" w:type="dxa"/>
            <w:tcBorders>
              <w:top w:val="single" w:sz="6" w:space="0" w:color="000000"/>
              <w:left w:val="single" w:sz="6" w:space="0" w:color="000000"/>
              <w:bottom w:val="single" w:sz="6" w:space="0" w:color="000000"/>
              <w:right w:val="single" w:sz="6" w:space="0" w:color="000000"/>
            </w:tcBorders>
            <w:shd w:val="clear" w:color="auto" w:fill="BFBFBF"/>
            <w:vAlign w:val="bottom"/>
          </w:tcPr>
          <w:p w14:paraId="3C54DFB1" w14:textId="77777777" w:rsidR="00011D24" w:rsidRDefault="00BC5D66">
            <w:pPr>
              <w:spacing w:after="0" w:line="259" w:lineRule="auto"/>
              <w:ind w:left="0" w:firstLine="0"/>
              <w:jc w:val="center"/>
            </w:pPr>
            <w:r>
              <w:rPr>
                <w:b/>
                <w:sz w:val="18"/>
              </w:rPr>
              <w:t xml:space="preserve">max </w:t>
            </w:r>
          </w:p>
        </w:tc>
        <w:tc>
          <w:tcPr>
            <w:tcW w:w="0" w:type="auto"/>
            <w:vMerge/>
            <w:tcBorders>
              <w:top w:val="nil"/>
              <w:left w:val="single" w:sz="6" w:space="0" w:color="000000"/>
              <w:bottom w:val="nil"/>
              <w:right w:val="nil"/>
            </w:tcBorders>
          </w:tcPr>
          <w:p w14:paraId="1F16647E" w14:textId="77777777" w:rsidR="00011D24" w:rsidRDefault="00011D24">
            <w:pPr>
              <w:spacing w:after="160" w:line="259" w:lineRule="auto"/>
              <w:ind w:left="0" w:firstLine="0"/>
            </w:pPr>
          </w:p>
        </w:tc>
      </w:tr>
      <w:tr w:rsidR="00011D24" w14:paraId="6C7893F9" w14:textId="77777777" w:rsidTr="003F5B79">
        <w:trPr>
          <w:trHeight w:val="467"/>
        </w:trPr>
        <w:tc>
          <w:tcPr>
            <w:tcW w:w="0" w:type="auto"/>
            <w:vMerge/>
            <w:tcBorders>
              <w:top w:val="nil"/>
              <w:left w:val="nil"/>
              <w:bottom w:val="nil"/>
              <w:right w:val="single" w:sz="8" w:space="0" w:color="000000"/>
            </w:tcBorders>
          </w:tcPr>
          <w:p w14:paraId="32696A2C" w14:textId="77777777" w:rsidR="00011D24" w:rsidRDefault="00011D24">
            <w:pPr>
              <w:spacing w:after="160" w:line="259" w:lineRule="auto"/>
              <w:ind w:left="0" w:firstLine="0"/>
            </w:pPr>
          </w:p>
        </w:tc>
        <w:tc>
          <w:tcPr>
            <w:tcW w:w="1390" w:type="dxa"/>
            <w:tcBorders>
              <w:top w:val="single" w:sz="6" w:space="0" w:color="000000"/>
              <w:left w:val="single" w:sz="8" w:space="0" w:color="000000"/>
              <w:bottom w:val="single" w:sz="6" w:space="0" w:color="000000"/>
              <w:right w:val="single" w:sz="6" w:space="0" w:color="000000"/>
            </w:tcBorders>
          </w:tcPr>
          <w:p w14:paraId="111AEEF5" w14:textId="169E0370" w:rsidR="00011D24" w:rsidRPr="00756346" w:rsidRDefault="00AA7B7E">
            <w:pPr>
              <w:spacing w:after="0" w:line="259" w:lineRule="auto"/>
              <w:ind w:left="34" w:firstLine="0"/>
              <w:rPr>
                <w:b/>
                <w:bCs/>
              </w:rPr>
            </w:pPr>
            <w:r w:rsidRPr="00756346">
              <w:rPr>
                <w:b/>
                <w:bCs/>
              </w:rPr>
              <w:t>Fix price</w:t>
            </w:r>
            <w:r w:rsidR="00A63C50">
              <w:rPr>
                <w:b/>
                <w:bCs/>
              </w:rPr>
              <w:t>d</w:t>
            </w:r>
          </w:p>
        </w:tc>
        <w:tc>
          <w:tcPr>
            <w:tcW w:w="748" w:type="dxa"/>
            <w:tcBorders>
              <w:top w:val="single" w:sz="6" w:space="0" w:color="000000"/>
              <w:left w:val="single" w:sz="6" w:space="0" w:color="000000"/>
              <w:bottom w:val="single" w:sz="6" w:space="0" w:color="000000"/>
              <w:right w:val="single" w:sz="6" w:space="0" w:color="000000"/>
            </w:tcBorders>
          </w:tcPr>
          <w:p w14:paraId="514DDFBB" w14:textId="77777777" w:rsidR="00011D24" w:rsidRDefault="00BC5D66">
            <w:pPr>
              <w:spacing w:after="0" w:line="259" w:lineRule="auto"/>
              <w:ind w:left="36" w:firstLine="0"/>
            </w:pPr>
            <w:r>
              <w:rPr>
                <w:rFonts w:ascii="Calibri" w:eastAsia="Calibri" w:hAnsi="Calibri" w:cs="Calibri"/>
                <w:sz w:val="18"/>
              </w:rPr>
              <w:t xml:space="preserve">95% </w:t>
            </w:r>
          </w:p>
        </w:tc>
        <w:tc>
          <w:tcPr>
            <w:tcW w:w="1446" w:type="dxa"/>
            <w:tcBorders>
              <w:top w:val="single" w:sz="6" w:space="0" w:color="000000"/>
              <w:left w:val="single" w:sz="6" w:space="0" w:color="000000"/>
              <w:bottom w:val="single" w:sz="6" w:space="0" w:color="000000"/>
              <w:right w:val="single" w:sz="6" w:space="0" w:color="000000"/>
            </w:tcBorders>
          </w:tcPr>
          <w:p w14:paraId="338CE1A6" w14:textId="77777777" w:rsidR="00011D24" w:rsidRDefault="00BC5D66">
            <w:pPr>
              <w:spacing w:after="0" w:line="259" w:lineRule="auto"/>
              <w:ind w:left="37" w:firstLine="0"/>
            </w:pPr>
            <w:r>
              <w:rPr>
                <w:rFonts w:ascii="Calibri" w:eastAsia="Calibri" w:hAnsi="Calibri" w:cs="Calibri"/>
                <w:sz w:val="18"/>
              </w:rPr>
              <w:t xml:space="preserve">105% </w:t>
            </w:r>
          </w:p>
        </w:tc>
        <w:tc>
          <w:tcPr>
            <w:tcW w:w="0" w:type="auto"/>
            <w:vMerge/>
            <w:tcBorders>
              <w:top w:val="nil"/>
              <w:left w:val="single" w:sz="6" w:space="0" w:color="000000"/>
              <w:bottom w:val="nil"/>
              <w:right w:val="nil"/>
            </w:tcBorders>
          </w:tcPr>
          <w:p w14:paraId="3EB9798B" w14:textId="77777777" w:rsidR="00011D24" w:rsidRDefault="00011D24">
            <w:pPr>
              <w:spacing w:after="160" w:line="259" w:lineRule="auto"/>
              <w:ind w:left="0" w:firstLine="0"/>
            </w:pPr>
          </w:p>
        </w:tc>
      </w:tr>
    </w:tbl>
    <w:tbl>
      <w:tblPr>
        <w:tblStyle w:val="TableGrid0"/>
        <w:tblW w:w="0" w:type="auto"/>
        <w:tblLook w:val="04A0" w:firstRow="1" w:lastRow="0" w:firstColumn="1" w:lastColumn="0" w:noHBand="0" w:noVBand="1"/>
      </w:tblPr>
      <w:tblGrid>
        <w:gridCol w:w="2278"/>
        <w:gridCol w:w="2278"/>
        <w:gridCol w:w="2278"/>
        <w:gridCol w:w="2279"/>
      </w:tblGrid>
      <w:tr w:rsidR="003F5B79" w14:paraId="1E581943" w14:textId="77777777" w:rsidTr="003F5B79">
        <w:tc>
          <w:tcPr>
            <w:tcW w:w="2278" w:type="dxa"/>
          </w:tcPr>
          <w:p w14:paraId="3FE373B5" w14:textId="46F69244" w:rsidR="003F5B79" w:rsidRPr="00756346" w:rsidRDefault="003F5B79">
            <w:pPr>
              <w:spacing w:after="158" w:line="259" w:lineRule="auto"/>
              <w:ind w:left="0" w:firstLine="0"/>
              <w:rPr>
                <w:b/>
                <w:bCs/>
              </w:rPr>
            </w:pPr>
            <w:r w:rsidRPr="00756346">
              <w:rPr>
                <w:b/>
                <w:bCs/>
              </w:rPr>
              <w:t>Variable price</w:t>
            </w:r>
            <w:r w:rsidR="00A63C50">
              <w:rPr>
                <w:b/>
                <w:bCs/>
              </w:rPr>
              <w:t>d</w:t>
            </w:r>
          </w:p>
        </w:tc>
        <w:tc>
          <w:tcPr>
            <w:tcW w:w="2278" w:type="dxa"/>
          </w:tcPr>
          <w:p w14:paraId="13DAB2CF" w14:textId="0A2F92A2" w:rsidR="003F5B79" w:rsidRDefault="003F5B79">
            <w:pPr>
              <w:spacing w:after="158" w:line="259" w:lineRule="auto"/>
              <w:ind w:left="0" w:firstLine="0"/>
            </w:pPr>
            <w:r>
              <w:t>1-2 months out</w:t>
            </w:r>
          </w:p>
        </w:tc>
        <w:tc>
          <w:tcPr>
            <w:tcW w:w="2278" w:type="dxa"/>
          </w:tcPr>
          <w:p w14:paraId="480A70B0" w14:textId="46D61610" w:rsidR="003F5B79" w:rsidRDefault="003F5B79">
            <w:pPr>
              <w:spacing w:after="158" w:line="259" w:lineRule="auto"/>
              <w:ind w:left="0" w:firstLine="0"/>
            </w:pPr>
            <w:r>
              <w:t>75% Min</w:t>
            </w:r>
          </w:p>
        </w:tc>
        <w:tc>
          <w:tcPr>
            <w:tcW w:w="2279" w:type="dxa"/>
          </w:tcPr>
          <w:p w14:paraId="5391E056" w14:textId="30DAB1E4" w:rsidR="003F5B79" w:rsidRDefault="003F5B79">
            <w:pPr>
              <w:spacing w:after="158" w:line="259" w:lineRule="auto"/>
              <w:ind w:left="0" w:firstLine="0"/>
            </w:pPr>
            <w:r>
              <w:t>110%max</w:t>
            </w:r>
          </w:p>
        </w:tc>
      </w:tr>
      <w:tr w:rsidR="003F5B79" w14:paraId="5730F937" w14:textId="77777777" w:rsidTr="003F5B79">
        <w:tc>
          <w:tcPr>
            <w:tcW w:w="2278" w:type="dxa"/>
          </w:tcPr>
          <w:p w14:paraId="34CDE6E6" w14:textId="77777777" w:rsidR="003F5B79" w:rsidRDefault="003F5B79">
            <w:pPr>
              <w:spacing w:after="158" w:line="259" w:lineRule="auto"/>
              <w:ind w:left="0" w:firstLine="0"/>
            </w:pPr>
          </w:p>
        </w:tc>
        <w:tc>
          <w:tcPr>
            <w:tcW w:w="2278" w:type="dxa"/>
          </w:tcPr>
          <w:p w14:paraId="5A1FCAF0" w14:textId="575F0DAB" w:rsidR="003F5B79" w:rsidRDefault="003F5B79">
            <w:pPr>
              <w:spacing w:after="158" w:line="259" w:lineRule="auto"/>
              <w:ind w:left="0" w:firstLine="0"/>
            </w:pPr>
            <w:r>
              <w:t xml:space="preserve">3-4 months out </w:t>
            </w:r>
          </w:p>
        </w:tc>
        <w:tc>
          <w:tcPr>
            <w:tcW w:w="2278" w:type="dxa"/>
          </w:tcPr>
          <w:p w14:paraId="10B93AAC" w14:textId="6B6DC623" w:rsidR="003F5B79" w:rsidRDefault="003F5B79">
            <w:pPr>
              <w:spacing w:after="158" w:line="259" w:lineRule="auto"/>
              <w:ind w:left="0" w:firstLine="0"/>
            </w:pPr>
            <w:r>
              <w:t>50% Min</w:t>
            </w:r>
          </w:p>
        </w:tc>
        <w:tc>
          <w:tcPr>
            <w:tcW w:w="2279" w:type="dxa"/>
          </w:tcPr>
          <w:p w14:paraId="2D0C9806" w14:textId="5911DB1F" w:rsidR="003F5B79" w:rsidRDefault="003F5B79">
            <w:pPr>
              <w:spacing w:after="158" w:line="259" w:lineRule="auto"/>
              <w:ind w:left="0" w:firstLine="0"/>
            </w:pPr>
            <w:r>
              <w:t>110% max</w:t>
            </w:r>
          </w:p>
        </w:tc>
      </w:tr>
      <w:tr w:rsidR="003F5B79" w14:paraId="6A9F6C22" w14:textId="77777777" w:rsidTr="003F5B79">
        <w:tc>
          <w:tcPr>
            <w:tcW w:w="2278" w:type="dxa"/>
          </w:tcPr>
          <w:p w14:paraId="0CD5A76C" w14:textId="77777777" w:rsidR="003F5B79" w:rsidRDefault="003F5B79">
            <w:pPr>
              <w:spacing w:after="158" w:line="259" w:lineRule="auto"/>
              <w:ind w:left="0" w:firstLine="0"/>
            </w:pPr>
          </w:p>
        </w:tc>
        <w:tc>
          <w:tcPr>
            <w:tcW w:w="2278" w:type="dxa"/>
          </w:tcPr>
          <w:p w14:paraId="7B84980C" w14:textId="5DF1491F" w:rsidR="003F5B79" w:rsidRDefault="003F5B79">
            <w:pPr>
              <w:spacing w:after="158" w:line="259" w:lineRule="auto"/>
              <w:ind w:left="0" w:firstLine="0"/>
            </w:pPr>
            <w:r>
              <w:t xml:space="preserve">5-12 months </w:t>
            </w:r>
          </w:p>
        </w:tc>
        <w:tc>
          <w:tcPr>
            <w:tcW w:w="2278" w:type="dxa"/>
          </w:tcPr>
          <w:p w14:paraId="28C9FEF2" w14:textId="01F51FB4" w:rsidR="003F5B79" w:rsidRDefault="003F5B79">
            <w:pPr>
              <w:spacing w:after="158" w:line="259" w:lineRule="auto"/>
              <w:ind w:left="0" w:firstLine="0"/>
            </w:pPr>
            <w:r>
              <w:t xml:space="preserve">10% Min </w:t>
            </w:r>
          </w:p>
        </w:tc>
        <w:tc>
          <w:tcPr>
            <w:tcW w:w="2279" w:type="dxa"/>
          </w:tcPr>
          <w:p w14:paraId="684643AF" w14:textId="281023EA" w:rsidR="003F5B79" w:rsidRDefault="003F5B79">
            <w:pPr>
              <w:spacing w:after="158" w:line="259" w:lineRule="auto"/>
              <w:ind w:left="0" w:firstLine="0"/>
            </w:pPr>
            <w:r>
              <w:t>50 %max</w:t>
            </w:r>
          </w:p>
        </w:tc>
      </w:tr>
      <w:tr w:rsidR="003F5B79" w14:paraId="660C902B" w14:textId="77777777" w:rsidTr="003F5B79">
        <w:tc>
          <w:tcPr>
            <w:tcW w:w="2278" w:type="dxa"/>
          </w:tcPr>
          <w:p w14:paraId="01045336" w14:textId="77777777" w:rsidR="003F5B79" w:rsidRDefault="003F5B79">
            <w:pPr>
              <w:spacing w:after="158" w:line="259" w:lineRule="auto"/>
              <w:ind w:left="0" w:firstLine="0"/>
            </w:pPr>
          </w:p>
        </w:tc>
        <w:tc>
          <w:tcPr>
            <w:tcW w:w="2278" w:type="dxa"/>
          </w:tcPr>
          <w:p w14:paraId="1DF8DF97" w14:textId="774A2A3D" w:rsidR="003F5B79" w:rsidRDefault="003F5B79">
            <w:pPr>
              <w:spacing w:after="158" w:line="259" w:lineRule="auto"/>
              <w:ind w:left="0" w:firstLine="0"/>
            </w:pPr>
            <w:r>
              <w:t>13-18 months</w:t>
            </w:r>
          </w:p>
        </w:tc>
        <w:tc>
          <w:tcPr>
            <w:tcW w:w="2278" w:type="dxa"/>
          </w:tcPr>
          <w:p w14:paraId="6FA65455" w14:textId="0FF27439" w:rsidR="003F5B79" w:rsidRDefault="003F5B79">
            <w:pPr>
              <w:spacing w:after="158" w:line="259" w:lineRule="auto"/>
              <w:ind w:left="0" w:firstLine="0"/>
            </w:pPr>
            <w:r>
              <w:t xml:space="preserve">0% Min </w:t>
            </w:r>
          </w:p>
        </w:tc>
        <w:tc>
          <w:tcPr>
            <w:tcW w:w="2279" w:type="dxa"/>
          </w:tcPr>
          <w:p w14:paraId="5AFE3A39" w14:textId="5D2A672E" w:rsidR="003F5B79" w:rsidRDefault="003F5B79">
            <w:pPr>
              <w:spacing w:after="158" w:line="259" w:lineRule="auto"/>
              <w:ind w:left="0" w:firstLine="0"/>
            </w:pPr>
            <w:r>
              <w:t>25% max</w:t>
            </w:r>
          </w:p>
        </w:tc>
      </w:tr>
    </w:tbl>
    <w:p w14:paraId="03725683" w14:textId="77777777" w:rsidR="00756346" w:rsidRPr="00756346" w:rsidRDefault="00756346" w:rsidP="00756346">
      <w:pPr>
        <w:spacing w:after="451" w:line="259" w:lineRule="auto"/>
        <w:ind w:left="0" w:firstLine="0"/>
        <w:rPr>
          <w:b/>
          <w:sz w:val="28"/>
        </w:rPr>
      </w:pPr>
    </w:p>
    <w:tbl>
      <w:tblPr>
        <w:tblStyle w:val="TableGrid"/>
        <w:tblW w:w="9806" w:type="dxa"/>
        <w:tblInd w:w="-341" w:type="dxa"/>
        <w:tblCellMar>
          <w:top w:w="6" w:type="dxa"/>
          <w:left w:w="72" w:type="dxa"/>
          <w:bottom w:w="5" w:type="dxa"/>
          <w:right w:w="67" w:type="dxa"/>
        </w:tblCellMar>
        <w:tblLook w:val="04A0" w:firstRow="1" w:lastRow="0" w:firstColumn="1" w:lastColumn="0" w:noHBand="0" w:noVBand="1"/>
      </w:tblPr>
      <w:tblGrid>
        <w:gridCol w:w="719"/>
        <w:gridCol w:w="1488"/>
        <w:gridCol w:w="1468"/>
        <w:gridCol w:w="1614"/>
        <w:gridCol w:w="2256"/>
        <w:gridCol w:w="2261"/>
      </w:tblGrid>
      <w:tr w:rsidR="003F5B79" w14:paraId="1809E2D3" w14:textId="77777777" w:rsidTr="008E3046">
        <w:trPr>
          <w:trHeight w:val="365"/>
        </w:trPr>
        <w:tc>
          <w:tcPr>
            <w:tcW w:w="9806" w:type="dxa"/>
            <w:gridSpan w:val="6"/>
            <w:tcBorders>
              <w:top w:val="single" w:sz="13" w:space="0" w:color="000000"/>
              <w:left w:val="single" w:sz="8" w:space="0" w:color="000000"/>
              <w:bottom w:val="single" w:sz="4" w:space="0" w:color="000000"/>
              <w:right w:val="single" w:sz="8" w:space="0" w:color="000000"/>
            </w:tcBorders>
            <w:shd w:val="clear" w:color="auto" w:fill="C0C0C0"/>
          </w:tcPr>
          <w:p w14:paraId="436F1874" w14:textId="77777777" w:rsidR="003F5B79" w:rsidRDefault="003F5B79" w:rsidP="008E3046">
            <w:pPr>
              <w:spacing w:after="0" w:line="259" w:lineRule="auto"/>
              <w:ind w:left="3" w:firstLine="0"/>
              <w:jc w:val="center"/>
            </w:pPr>
            <w:r>
              <w:rPr>
                <w:b/>
                <w:sz w:val="18"/>
              </w:rPr>
              <w:t xml:space="preserve">Electricity Notional Authority Limits  </w:t>
            </w:r>
          </w:p>
        </w:tc>
      </w:tr>
      <w:tr w:rsidR="003F5B79" w14:paraId="46E4A821" w14:textId="77777777" w:rsidTr="008E3046">
        <w:trPr>
          <w:trHeight w:val="565"/>
        </w:trPr>
        <w:tc>
          <w:tcPr>
            <w:tcW w:w="719" w:type="dxa"/>
            <w:vMerge w:val="restart"/>
            <w:tcBorders>
              <w:top w:val="single" w:sz="4" w:space="0" w:color="000000"/>
              <w:left w:val="single" w:sz="8" w:space="0" w:color="000000"/>
              <w:bottom w:val="single" w:sz="4" w:space="0" w:color="000000"/>
              <w:right w:val="single" w:sz="4" w:space="0" w:color="000000"/>
            </w:tcBorders>
            <w:shd w:val="clear" w:color="auto" w:fill="C0C0C0"/>
            <w:vAlign w:val="center"/>
          </w:tcPr>
          <w:p w14:paraId="4E4F7378" w14:textId="77777777" w:rsidR="003F5B79" w:rsidRDefault="003F5B79" w:rsidP="008E3046">
            <w:pPr>
              <w:spacing w:after="0" w:line="259" w:lineRule="auto"/>
              <w:ind w:left="0" w:firstLine="0"/>
              <w:jc w:val="center"/>
            </w:pPr>
            <w:r>
              <w:rPr>
                <w:b/>
                <w:sz w:val="18"/>
              </w:rPr>
              <w:t xml:space="preserve">Tier </w:t>
            </w:r>
          </w:p>
        </w:tc>
        <w:tc>
          <w:tcPr>
            <w:tcW w:w="1488" w:type="dxa"/>
            <w:vMerge w:val="restart"/>
            <w:tcBorders>
              <w:top w:val="single" w:sz="4" w:space="0" w:color="000000"/>
              <w:left w:val="single" w:sz="4" w:space="0" w:color="000000"/>
              <w:bottom w:val="single" w:sz="4" w:space="0" w:color="000000"/>
              <w:right w:val="single" w:sz="4" w:space="0" w:color="000000"/>
            </w:tcBorders>
            <w:shd w:val="clear" w:color="auto" w:fill="C0C0C0"/>
            <w:vAlign w:val="center"/>
          </w:tcPr>
          <w:p w14:paraId="590DB2FC" w14:textId="77777777" w:rsidR="003F5B79" w:rsidRDefault="003F5B79" w:rsidP="008E3046">
            <w:pPr>
              <w:spacing w:after="0" w:line="259" w:lineRule="auto"/>
              <w:ind w:left="46" w:firstLine="0"/>
            </w:pPr>
            <w:r>
              <w:rPr>
                <w:b/>
                <w:sz w:val="18"/>
              </w:rPr>
              <w:t xml:space="preserve">Indicative Title </w:t>
            </w:r>
          </w:p>
        </w:tc>
        <w:tc>
          <w:tcPr>
            <w:tcW w:w="1468" w:type="dxa"/>
            <w:vMerge w:val="restart"/>
            <w:tcBorders>
              <w:top w:val="single" w:sz="4" w:space="0" w:color="000000"/>
              <w:left w:val="single" w:sz="4" w:space="0" w:color="000000"/>
              <w:bottom w:val="single" w:sz="4" w:space="0" w:color="000000"/>
              <w:right w:val="single" w:sz="4" w:space="0" w:color="000000"/>
            </w:tcBorders>
            <w:shd w:val="clear" w:color="auto" w:fill="C0C0C0"/>
            <w:vAlign w:val="center"/>
          </w:tcPr>
          <w:p w14:paraId="7D985911" w14:textId="77777777" w:rsidR="003F5B79" w:rsidRDefault="003F5B79" w:rsidP="008E3046">
            <w:pPr>
              <w:spacing w:after="0" w:line="259" w:lineRule="auto"/>
              <w:ind w:left="0" w:right="4" w:firstLine="0"/>
              <w:jc w:val="center"/>
            </w:pPr>
            <w:r>
              <w:rPr>
                <w:b/>
                <w:sz w:val="18"/>
              </w:rPr>
              <w:t xml:space="preserve">Tenor </w:t>
            </w:r>
          </w:p>
        </w:tc>
        <w:tc>
          <w:tcPr>
            <w:tcW w:w="3870" w:type="dxa"/>
            <w:gridSpan w:val="2"/>
            <w:tcBorders>
              <w:top w:val="single" w:sz="4" w:space="0" w:color="000000"/>
              <w:left w:val="single" w:sz="4" w:space="0" w:color="000000"/>
              <w:bottom w:val="single" w:sz="4" w:space="0" w:color="000000"/>
              <w:right w:val="single" w:sz="4" w:space="0" w:color="000000"/>
            </w:tcBorders>
            <w:shd w:val="clear" w:color="auto" w:fill="C0C0C0"/>
            <w:vAlign w:val="center"/>
          </w:tcPr>
          <w:p w14:paraId="589DD41D" w14:textId="77777777" w:rsidR="003F5B79" w:rsidRDefault="003F5B79" w:rsidP="008E3046">
            <w:pPr>
              <w:spacing w:after="0" w:line="259" w:lineRule="auto"/>
              <w:ind w:left="1" w:firstLine="0"/>
              <w:jc w:val="center"/>
            </w:pPr>
            <w:r>
              <w:rPr>
                <w:b/>
                <w:sz w:val="18"/>
              </w:rPr>
              <w:t xml:space="preserve">Notional Limits Per Transaction </w:t>
            </w:r>
          </w:p>
        </w:tc>
        <w:tc>
          <w:tcPr>
            <w:tcW w:w="2261" w:type="dxa"/>
            <w:tcBorders>
              <w:top w:val="single" w:sz="4" w:space="0" w:color="000000"/>
              <w:left w:val="single" w:sz="4" w:space="0" w:color="000000"/>
              <w:bottom w:val="single" w:sz="4" w:space="0" w:color="000000"/>
              <w:right w:val="single" w:sz="8" w:space="0" w:color="000000"/>
            </w:tcBorders>
            <w:shd w:val="clear" w:color="auto" w:fill="C0C0C0"/>
          </w:tcPr>
          <w:p w14:paraId="39DF4EF4" w14:textId="77777777" w:rsidR="003F5B79" w:rsidRDefault="003F5B79" w:rsidP="008E3046">
            <w:pPr>
              <w:spacing w:after="0" w:line="259" w:lineRule="auto"/>
              <w:ind w:left="0" w:firstLine="0"/>
              <w:jc w:val="center"/>
            </w:pPr>
            <w:r>
              <w:rPr>
                <w:b/>
                <w:sz w:val="18"/>
              </w:rPr>
              <w:t xml:space="preserve">Nominal Dollar Value of Transaction </w:t>
            </w:r>
          </w:p>
        </w:tc>
      </w:tr>
      <w:tr w:rsidR="003F5B79" w14:paraId="67B6445B" w14:textId="77777777" w:rsidTr="008E3046">
        <w:trPr>
          <w:trHeight w:val="389"/>
        </w:trPr>
        <w:tc>
          <w:tcPr>
            <w:tcW w:w="0" w:type="auto"/>
            <w:vMerge/>
            <w:tcBorders>
              <w:top w:val="nil"/>
              <w:left w:val="single" w:sz="8" w:space="0" w:color="000000"/>
              <w:bottom w:val="single" w:sz="4" w:space="0" w:color="000000"/>
              <w:right w:val="single" w:sz="4" w:space="0" w:color="000000"/>
            </w:tcBorders>
          </w:tcPr>
          <w:p w14:paraId="4D12CA63" w14:textId="77777777" w:rsidR="003F5B79" w:rsidRDefault="003F5B79" w:rsidP="008E3046">
            <w:pPr>
              <w:spacing w:after="160" w:line="259" w:lineRule="auto"/>
              <w:ind w:left="0" w:firstLine="0"/>
            </w:pPr>
          </w:p>
        </w:tc>
        <w:tc>
          <w:tcPr>
            <w:tcW w:w="0" w:type="auto"/>
            <w:vMerge/>
            <w:tcBorders>
              <w:top w:val="nil"/>
              <w:left w:val="single" w:sz="4" w:space="0" w:color="000000"/>
              <w:bottom w:val="single" w:sz="4" w:space="0" w:color="000000"/>
              <w:right w:val="single" w:sz="4" w:space="0" w:color="000000"/>
            </w:tcBorders>
          </w:tcPr>
          <w:p w14:paraId="64EB0DFB" w14:textId="77777777" w:rsidR="003F5B79" w:rsidRDefault="003F5B79" w:rsidP="008E3046">
            <w:pPr>
              <w:spacing w:after="160" w:line="259" w:lineRule="auto"/>
              <w:ind w:left="0" w:firstLine="0"/>
            </w:pPr>
          </w:p>
        </w:tc>
        <w:tc>
          <w:tcPr>
            <w:tcW w:w="0" w:type="auto"/>
            <w:vMerge/>
            <w:tcBorders>
              <w:top w:val="nil"/>
              <w:left w:val="single" w:sz="4" w:space="0" w:color="000000"/>
              <w:bottom w:val="single" w:sz="4" w:space="0" w:color="000000"/>
              <w:right w:val="single" w:sz="4" w:space="0" w:color="000000"/>
            </w:tcBorders>
          </w:tcPr>
          <w:p w14:paraId="2884441B" w14:textId="77777777" w:rsidR="003F5B79" w:rsidRDefault="003F5B79" w:rsidP="008E3046">
            <w:pPr>
              <w:spacing w:after="160" w:line="259" w:lineRule="auto"/>
              <w:ind w:left="0" w:firstLine="0"/>
            </w:pPr>
          </w:p>
        </w:tc>
        <w:tc>
          <w:tcPr>
            <w:tcW w:w="1614" w:type="dxa"/>
            <w:tcBorders>
              <w:top w:val="single" w:sz="4" w:space="0" w:color="000000"/>
              <w:left w:val="single" w:sz="4" w:space="0" w:color="000000"/>
              <w:bottom w:val="single" w:sz="4" w:space="0" w:color="000000"/>
              <w:right w:val="single" w:sz="4" w:space="0" w:color="000000"/>
            </w:tcBorders>
          </w:tcPr>
          <w:p w14:paraId="75358530" w14:textId="77777777" w:rsidR="003F5B79" w:rsidRDefault="003F5B79" w:rsidP="008E3046">
            <w:pPr>
              <w:spacing w:after="0" w:line="259" w:lineRule="auto"/>
              <w:ind w:left="3" w:firstLine="0"/>
              <w:jc w:val="center"/>
            </w:pPr>
            <w:r>
              <w:rPr>
                <w:b/>
                <w:sz w:val="18"/>
              </w:rPr>
              <w:t xml:space="preserve">Total MWHRS  </w:t>
            </w:r>
          </w:p>
        </w:tc>
        <w:tc>
          <w:tcPr>
            <w:tcW w:w="2256" w:type="dxa"/>
            <w:tcBorders>
              <w:top w:val="single" w:sz="4" w:space="0" w:color="000000"/>
              <w:left w:val="single" w:sz="4" w:space="0" w:color="000000"/>
              <w:bottom w:val="single" w:sz="4" w:space="0" w:color="000000"/>
              <w:right w:val="single" w:sz="4" w:space="0" w:color="000000"/>
            </w:tcBorders>
          </w:tcPr>
          <w:p w14:paraId="21438A49" w14:textId="77777777" w:rsidR="003F5B79" w:rsidRDefault="003F5B79" w:rsidP="008E3046">
            <w:pPr>
              <w:spacing w:after="0" w:line="259" w:lineRule="auto"/>
              <w:ind w:left="3" w:firstLine="0"/>
              <w:jc w:val="center"/>
            </w:pPr>
            <w:r>
              <w:rPr>
                <w:b/>
                <w:sz w:val="18"/>
              </w:rPr>
              <w:t xml:space="preserve">Total Bcf </w:t>
            </w:r>
          </w:p>
        </w:tc>
        <w:tc>
          <w:tcPr>
            <w:tcW w:w="2261" w:type="dxa"/>
            <w:tcBorders>
              <w:top w:val="single" w:sz="4" w:space="0" w:color="000000"/>
              <w:left w:val="single" w:sz="4" w:space="0" w:color="000000"/>
              <w:bottom w:val="single" w:sz="4" w:space="0" w:color="000000"/>
              <w:right w:val="single" w:sz="8" w:space="0" w:color="000000"/>
            </w:tcBorders>
          </w:tcPr>
          <w:p w14:paraId="371CD222" w14:textId="77777777" w:rsidR="003F5B79" w:rsidRDefault="003F5B79" w:rsidP="008E3046">
            <w:pPr>
              <w:spacing w:after="0" w:line="259" w:lineRule="auto"/>
              <w:ind w:left="0" w:firstLine="0"/>
              <w:jc w:val="center"/>
            </w:pPr>
            <w:r>
              <w:rPr>
                <w:b/>
                <w:sz w:val="18"/>
              </w:rPr>
              <w:t xml:space="preserve">Total $ </w:t>
            </w:r>
          </w:p>
        </w:tc>
      </w:tr>
      <w:tr w:rsidR="003F5B79" w14:paraId="394AB40E" w14:textId="77777777" w:rsidTr="008E3046">
        <w:trPr>
          <w:trHeight w:val="1024"/>
        </w:trPr>
        <w:tc>
          <w:tcPr>
            <w:tcW w:w="719" w:type="dxa"/>
            <w:tcBorders>
              <w:top w:val="single" w:sz="4" w:space="0" w:color="000000"/>
              <w:left w:val="single" w:sz="8" w:space="0" w:color="000000"/>
              <w:bottom w:val="single" w:sz="8" w:space="0" w:color="000000"/>
              <w:right w:val="single" w:sz="4" w:space="0" w:color="000000"/>
            </w:tcBorders>
          </w:tcPr>
          <w:p w14:paraId="56694760" w14:textId="77777777" w:rsidR="003F5B79" w:rsidRDefault="003F5B79" w:rsidP="008E3046">
            <w:pPr>
              <w:spacing w:after="85" w:line="259" w:lineRule="auto"/>
              <w:ind w:left="0" w:firstLine="0"/>
            </w:pPr>
            <w:r>
              <w:rPr>
                <w:sz w:val="18"/>
              </w:rPr>
              <w:t xml:space="preserve">1 </w:t>
            </w:r>
          </w:p>
          <w:p w14:paraId="1FE4126E" w14:textId="77777777" w:rsidR="003F5B79" w:rsidRDefault="003F5B79" w:rsidP="008E3046">
            <w:pPr>
              <w:spacing w:after="81" w:line="259" w:lineRule="auto"/>
              <w:ind w:left="0" w:firstLine="0"/>
            </w:pPr>
            <w:r>
              <w:rPr>
                <w:sz w:val="18"/>
              </w:rPr>
              <w:t xml:space="preserve"> </w:t>
            </w:r>
          </w:p>
          <w:p w14:paraId="0BA3D6AA" w14:textId="77777777" w:rsidR="003F5B79" w:rsidRDefault="003F5B79" w:rsidP="008E3046">
            <w:pPr>
              <w:spacing w:after="0" w:line="259" w:lineRule="auto"/>
              <w:ind w:left="0" w:firstLine="0"/>
            </w:pPr>
            <w:r>
              <w:rPr>
                <w:sz w:val="18"/>
              </w:rPr>
              <w:t xml:space="preserve">2 </w:t>
            </w:r>
          </w:p>
        </w:tc>
        <w:tc>
          <w:tcPr>
            <w:tcW w:w="1488" w:type="dxa"/>
            <w:tcBorders>
              <w:top w:val="single" w:sz="4" w:space="0" w:color="000000"/>
              <w:left w:val="single" w:sz="4" w:space="0" w:color="000000"/>
              <w:bottom w:val="single" w:sz="8" w:space="0" w:color="000000"/>
              <w:right w:val="single" w:sz="4" w:space="0" w:color="000000"/>
            </w:tcBorders>
          </w:tcPr>
          <w:p w14:paraId="276EDCED" w14:textId="77777777" w:rsidR="003F5B79" w:rsidRDefault="003F5B79" w:rsidP="008E3046">
            <w:pPr>
              <w:spacing w:after="85" w:line="259" w:lineRule="auto"/>
              <w:ind w:left="0" w:firstLine="0"/>
            </w:pPr>
            <w:r>
              <w:rPr>
                <w:sz w:val="18"/>
              </w:rPr>
              <w:t xml:space="preserve">CEO* </w:t>
            </w:r>
          </w:p>
          <w:p w14:paraId="631E272B" w14:textId="77777777" w:rsidR="003F5B79" w:rsidRDefault="003F5B79" w:rsidP="008E3046">
            <w:pPr>
              <w:spacing w:after="81" w:line="259" w:lineRule="auto"/>
              <w:ind w:left="0" w:firstLine="0"/>
            </w:pPr>
            <w:r>
              <w:rPr>
                <w:sz w:val="18"/>
              </w:rPr>
              <w:t xml:space="preserve"> </w:t>
            </w:r>
          </w:p>
          <w:p w14:paraId="16D189DF" w14:textId="77777777" w:rsidR="003F5B79" w:rsidRDefault="003F5B79" w:rsidP="008E3046">
            <w:pPr>
              <w:spacing w:after="0" w:line="259" w:lineRule="auto"/>
              <w:ind w:left="0" w:firstLine="0"/>
            </w:pPr>
            <w:r>
              <w:rPr>
                <w:sz w:val="18"/>
              </w:rPr>
              <w:t xml:space="preserve">COO </w:t>
            </w:r>
          </w:p>
        </w:tc>
        <w:tc>
          <w:tcPr>
            <w:tcW w:w="1468" w:type="dxa"/>
            <w:tcBorders>
              <w:top w:val="single" w:sz="4" w:space="0" w:color="000000"/>
              <w:left w:val="single" w:sz="4" w:space="0" w:color="000000"/>
              <w:bottom w:val="single" w:sz="8" w:space="0" w:color="000000"/>
              <w:right w:val="single" w:sz="4" w:space="0" w:color="000000"/>
            </w:tcBorders>
          </w:tcPr>
          <w:p w14:paraId="7FA2DD0A" w14:textId="7BC0A813" w:rsidR="003F5B79" w:rsidRDefault="003F5B79" w:rsidP="008E3046">
            <w:pPr>
              <w:spacing w:after="0" w:line="236" w:lineRule="auto"/>
              <w:ind w:left="0" w:firstLine="0"/>
              <w:jc w:val="center"/>
            </w:pPr>
            <w:r>
              <w:rPr>
                <w:sz w:val="18"/>
              </w:rPr>
              <w:t xml:space="preserve">Up to </w:t>
            </w:r>
            <w:r w:rsidR="00BB5D56" w:rsidRPr="00BB5D56">
              <w:rPr>
                <w:color w:val="FF0000"/>
                <w:sz w:val="18"/>
              </w:rPr>
              <w:t>5</w:t>
            </w:r>
            <w:r>
              <w:rPr>
                <w:sz w:val="18"/>
              </w:rPr>
              <w:t xml:space="preserve"> years succeeding the </w:t>
            </w:r>
          </w:p>
          <w:p w14:paraId="2606CF35" w14:textId="77777777" w:rsidR="003F5B79" w:rsidRDefault="003F5B79" w:rsidP="008E3046">
            <w:pPr>
              <w:spacing w:after="0" w:line="259" w:lineRule="auto"/>
              <w:ind w:left="0" w:firstLine="0"/>
              <w:jc w:val="center"/>
            </w:pPr>
            <w:r>
              <w:rPr>
                <w:sz w:val="18"/>
              </w:rPr>
              <w:t xml:space="preserve">current delivery month </w:t>
            </w:r>
          </w:p>
        </w:tc>
        <w:tc>
          <w:tcPr>
            <w:tcW w:w="1614" w:type="dxa"/>
            <w:tcBorders>
              <w:top w:val="single" w:sz="4" w:space="0" w:color="000000"/>
              <w:left w:val="single" w:sz="4" w:space="0" w:color="000000"/>
              <w:bottom w:val="single" w:sz="8" w:space="0" w:color="000000"/>
              <w:right w:val="single" w:sz="4" w:space="0" w:color="000000"/>
            </w:tcBorders>
          </w:tcPr>
          <w:p w14:paraId="6E47E06B" w14:textId="77777777" w:rsidR="003F5B79" w:rsidRDefault="003F5B79" w:rsidP="008E3046">
            <w:pPr>
              <w:spacing w:after="85" w:line="259" w:lineRule="auto"/>
              <w:ind w:left="3" w:firstLine="0"/>
              <w:jc w:val="center"/>
            </w:pPr>
            <w:r>
              <w:rPr>
                <w:sz w:val="18"/>
              </w:rPr>
              <w:t xml:space="preserve">200,000 </w:t>
            </w:r>
          </w:p>
          <w:p w14:paraId="5679639A" w14:textId="77777777" w:rsidR="003F5B79" w:rsidRDefault="003F5B79" w:rsidP="008E3046">
            <w:pPr>
              <w:spacing w:after="81" w:line="259" w:lineRule="auto"/>
              <w:ind w:left="52" w:firstLine="0"/>
              <w:jc w:val="center"/>
            </w:pPr>
            <w:r>
              <w:rPr>
                <w:sz w:val="18"/>
              </w:rPr>
              <w:t xml:space="preserve"> </w:t>
            </w:r>
          </w:p>
          <w:p w14:paraId="09EEF92B" w14:textId="77777777" w:rsidR="003F5B79" w:rsidRDefault="003F5B79" w:rsidP="008E3046">
            <w:pPr>
              <w:spacing w:after="0" w:line="259" w:lineRule="auto"/>
              <w:ind w:left="3" w:firstLine="0"/>
              <w:jc w:val="center"/>
            </w:pPr>
            <w:r>
              <w:rPr>
                <w:sz w:val="18"/>
              </w:rPr>
              <w:t xml:space="preserve">100,000 </w:t>
            </w:r>
          </w:p>
        </w:tc>
        <w:tc>
          <w:tcPr>
            <w:tcW w:w="2256" w:type="dxa"/>
            <w:tcBorders>
              <w:top w:val="single" w:sz="4" w:space="0" w:color="000000"/>
              <w:left w:val="single" w:sz="4" w:space="0" w:color="000000"/>
              <w:bottom w:val="single" w:sz="8" w:space="0" w:color="000000"/>
              <w:right w:val="single" w:sz="4" w:space="0" w:color="000000"/>
            </w:tcBorders>
          </w:tcPr>
          <w:p w14:paraId="2FD9A184" w14:textId="77777777" w:rsidR="003F5B79" w:rsidRDefault="003F5B79" w:rsidP="008E3046">
            <w:pPr>
              <w:spacing w:after="85" w:line="259" w:lineRule="auto"/>
              <w:ind w:left="4" w:firstLine="0"/>
              <w:jc w:val="center"/>
            </w:pPr>
            <w:r>
              <w:rPr>
                <w:sz w:val="18"/>
              </w:rPr>
              <w:t xml:space="preserve">N/A </w:t>
            </w:r>
          </w:p>
          <w:p w14:paraId="4B1615F3" w14:textId="77777777" w:rsidR="003F5B79" w:rsidRDefault="003F5B79" w:rsidP="008E3046">
            <w:pPr>
              <w:spacing w:after="81" w:line="259" w:lineRule="auto"/>
              <w:ind w:left="53" w:firstLine="0"/>
              <w:jc w:val="center"/>
            </w:pPr>
            <w:r>
              <w:rPr>
                <w:sz w:val="18"/>
              </w:rPr>
              <w:t xml:space="preserve"> </w:t>
            </w:r>
          </w:p>
          <w:p w14:paraId="2954F2AE" w14:textId="77777777" w:rsidR="003F5B79" w:rsidRDefault="003F5B79" w:rsidP="008E3046">
            <w:pPr>
              <w:spacing w:after="0" w:line="259" w:lineRule="auto"/>
              <w:ind w:left="4" w:firstLine="0"/>
              <w:jc w:val="center"/>
            </w:pPr>
            <w:r>
              <w:rPr>
                <w:sz w:val="18"/>
              </w:rPr>
              <w:t xml:space="preserve">N/A </w:t>
            </w:r>
          </w:p>
        </w:tc>
        <w:tc>
          <w:tcPr>
            <w:tcW w:w="2261" w:type="dxa"/>
            <w:tcBorders>
              <w:top w:val="single" w:sz="4" w:space="0" w:color="000000"/>
              <w:left w:val="single" w:sz="4" w:space="0" w:color="000000"/>
              <w:bottom w:val="single" w:sz="8" w:space="0" w:color="000000"/>
              <w:right w:val="single" w:sz="8" w:space="0" w:color="000000"/>
            </w:tcBorders>
          </w:tcPr>
          <w:p w14:paraId="3AEECA2A" w14:textId="77777777" w:rsidR="003F5B79" w:rsidRDefault="003F5B79" w:rsidP="008E3046">
            <w:pPr>
              <w:spacing w:after="79" w:line="259" w:lineRule="auto"/>
              <w:ind w:left="0" w:firstLine="0"/>
              <w:jc w:val="center"/>
            </w:pPr>
            <w:r>
              <w:rPr>
                <w:sz w:val="18"/>
              </w:rPr>
              <w:t>20 MM</w:t>
            </w:r>
            <w:r>
              <w:rPr>
                <w:sz w:val="22"/>
              </w:rPr>
              <w:t xml:space="preserve"> </w:t>
            </w:r>
          </w:p>
          <w:p w14:paraId="75CE75A3" w14:textId="77777777" w:rsidR="003F5B79" w:rsidRDefault="003F5B79" w:rsidP="008E3046">
            <w:pPr>
              <w:spacing w:after="38" w:line="259" w:lineRule="auto"/>
              <w:ind w:left="60" w:firstLine="0"/>
              <w:jc w:val="center"/>
            </w:pPr>
            <w:r>
              <w:rPr>
                <w:sz w:val="22"/>
              </w:rPr>
              <w:t xml:space="preserve"> </w:t>
            </w:r>
          </w:p>
          <w:p w14:paraId="0C83D9E4" w14:textId="77777777" w:rsidR="003F5B79" w:rsidRDefault="003F5B79" w:rsidP="008E3046">
            <w:pPr>
              <w:spacing w:after="0" w:line="259" w:lineRule="auto"/>
              <w:ind w:left="0" w:firstLine="0"/>
              <w:jc w:val="center"/>
            </w:pPr>
            <w:r>
              <w:rPr>
                <w:sz w:val="18"/>
              </w:rPr>
              <w:t xml:space="preserve">10MM </w:t>
            </w:r>
          </w:p>
        </w:tc>
      </w:tr>
    </w:tbl>
    <w:p w14:paraId="01EA47B8" w14:textId="77777777" w:rsidR="003F5B79" w:rsidRDefault="003F5B79" w:rsidP="003F5B79">
      <w:pPr>
        <w:spacing w:after="316" w:line="259" w:lineRule="auto"/>
        <w:ind w:left="0" w:firstLine="0"/>
      </w:pPr>
      <w:r>
        <w:rPr>
          <w:sz w:val="18"/>
        </w:rPr>
        <w:t xml:space="preserve"> </w:t>
      </w:r>
    </w:p>
    <w:p w14:paraId="31B8F04D" w14:textId="6648C266" w:rsidR="00011D24" w:rsidRDefault="00011D24" w:rsidP="00D31890">
      <w:pPr>
        <w:spacing w:after="226" w:line="259" w:lineRule="auto"/>
        <w:ind w:left="10" w:right="-13"/>
        <w:jc w:val="right"/>
        <w:rPr>
          <w:sz w:val="16"/>
        </w:rPr>
      </w:pPr>
    </w:p>
    <w:p w14:paraId="1056A0CB" w14:textId="66634823" w:rsidR="006D7E2F" w:rsidRDefault="006D7E2F" w:rsidP="00D31890">
      <w:pPr>
        <w:spacing w:after="226" w:line="259" w:lineRule="auto"/>
        <w:ind w:left="10" w:right="-13"/>
        <w:jc w:val="right"/>
        <w:rPr>
          <w:sz w:val="16"/>
        </w:rPr>
      </w:pPr>
    </w:p>
    <w:p w14:paraId="0AB07E9F" w14:textId="2F0CE29A" w:rsidR="006D7E2F" w:rsidRDefault="006D7E2F" w:rsidP="006D7E2F">
      <w:pPr>
        <w:spacing w:after="307" w:line="259" w:lineRule="auto"/>
        <w:ind w:left="10"/>
      </w:pPr>
      <w:r>
        <w:rPr>
          <w:b/>
          <w:i/>
          <w:sz w:val="22"/>
        </w:rPr>
        <w:t xml:space="preserve">APPENDIX </w:t>
      </w:r>
      <w:r>
        <w:rPr>
          <w:b/>
          <w:i/>
          <w:sz w:val="22"/>
        </w:rPr>
        <w:t>C</w:t>
      </w:r>
      <w:r>
        <w:rPr>
          <w:b/>
          <w:i/>
          <w:sz w:val="22"/>
        </w:rPr>
        <w:t>:</w:t>
      </w:r>
      <w:r>
        <w:rPr>
          <w:b/>
          <w:i/>
          <w:sz w:val="22"/>
        </w:rPr>
        <w:t xml:space="preserve"> ERCOT DRP – Disaster Recovery Plan </w:t>
      </w:r>
      <w:r>
        <w:rPr>
          <w:b/>
          <w:i/>
          <w:sz w:val="22"/>
        </w:rPr>
        <w:t xml:space="preserve"> </w:t>
      </w:r>
    </w:p>
    <w:p w14:paraId="2FF647D8" w14:textId="2F47AD0B" w:rsidR="006D7E2F" w:rsidRDefault="006D7E2F" w:rsidP="006D7E2F">
      <w:pPr>
        <w:pStyle w:val="Heading2"/>
        <w:tabs>
          <w:tab w:val="center" w:pos="441"/>
          <w:tab w:val="center" w:pos="2284"/>
        </w:tabs>
        <w:ind w:left="0" w:firstLine="0"/>
      </w:pPr>
      <w:r>
        <w:rPr>
          <w:rFonts w:ascii="Calibri" w:eastAsia="Calibri" w:hAnsi="Calibri" w:cs="Calibri"/>
          <w:b w:val="0"/>
        </w:rPr>
        <w:tab/>
      </w:r>
      <w:r>
        <w:t>C</w:t>
      </w:r>
      <w:r>
        <w:t xml:space="preserve">.1 </w:t>
      </w:r>
      <w:r>
        <w:tab/>
      </w:r>
      <w:r>
        <w:t xml:space="preserve">Summary </w:t>
      </w:r>
      <w:r>
        <w:t xml:space="preserve"> </w:t>
      </w:r>
    </w:p>
    <w:p w14:paraId="09D34FFE" w14:textId="7251F4B7" w:rsidR="006D7E2F" w:rsidRDefault="006D7E2F" w:rsidP="00D31890">
      <w:pPr>
        <w:spacing w:after="226" w:line="259" w:lineRule="auto"/>
        <w:ind w:left="10" w:right="-13"/>
        <w:jc w:val="right"/>
        <w:rPr>
          <w:sz w:val="16"/>
        </w:rPr>
      </w:pPr>
    </w:p>
    <w:p w14:paraId="4D26006C" w14:textId="45EB1776" w:rsidR="006D7E2F" w:rsidRDefault="006D7E2F" w:rsidP="00D31890">
      <w:pPr>
        <w:spacing w:after="226" w:line="259" w:lineRule="auto"/>
        <w:ind w:left="10" w:right="-13"/>
        <w:jc w:val="right"/>
        <w:rPr>
          <w:sz w:val="16"/>
        </w:rPr>
      </w:pPr>
    </w:p>
    <w:p w14:paraId="1A0E1ECD" w14:textId="77777777" w:rsidR="006D7E2F" w:rsidRDefault="006D7E2F" w:rsidP="006D7E2F"/>
    <w:p w14:paraId="2AC067E7" w14:textId="77777777" w:rsidR="006D7E2F" w:rsidRPr="00DB097A" w:rsidRDefault="006D7E2F" w:rsidP="006D7E2F">
      <w:pPr>
        <w:jc w:val="center"/>
        <w:rPr>
          <w:b/>
          <w:bCs/>
          <w:sz w:val="36"/>
          <w:szCs w:val="36"/>
        </w:rPr>
      </w:pPr>
      <w:r w:rsidRPr="00DB097A">
        <w:rPr>
          <w:b/>
          <w:bCs/>
          <w:sz w:val="36"/>
          <w:szCs w:val="36"/>
        </w:rPr>
        <w:t xml:space="preserve">Ironhorse Power Services, </w:t>
      </w:r>
      <w:r w:rsidRPr="009D027A">
        <w:rPr>
          <w:b/>
          <w:bCs/>
          <w:sz w:val="28"/>
          <w:szCs w:val="28"/>
        </w:rPr>
        <w:t>LLC</w:t>
      </w:r>
    </w:p>
    <w:p w14:paraId="325EE30F" w14:textId="77777777" w:rsidR="006D7E2F" w:rsidRDefault="006D7E2F" w:rsidP="006D7E2F">
      <w:pPr>
        <w:ind w:left="1440" w:firstLine="720"/>
        <w:rPr>
          <w:b/>
          <w:bCs/>
          <w:sz w:val="36"/>
          <w:szCs w:val="36"/>
        </w:rPr>
      </w:pPr>
      <w:r w:rsidRPr="00DB097A">
        <w:rPr>
          <w:b/>
          <w:bCs/>
          <w:sz w:val="36"/>
          <w:szCs w:val="36"/>
        </w:rPr>
        <w:t xml:space="preserve">          Disaster Recovery Plan</w:t>
      </w:r>
    </w:p>
    <w:p w14:paraId="7D397DA1" w14:textId="77777777" w:rsidR="006D7E2F" w:rsidRDefault="006D7E2F" w:rsidP="006D7E2F">
      <w:pPr>
        <w:rPr>
          <w:b/>
          <w:bCs/>
          <w:sz w:val="28"/>
          <w:szCs w:val="28"/>
          <w:u w:val="single"/>
        </w:rPr>
      </w:pPr>
    </w:p>
    <w:p w14:paraId="219578C2" w14:textId="77777777" w:rsidR="006D7E2F" w:rsidRDefault="006D7E2F" w:rsidP="006D7E2F">
      <w:pPr>
        <w:ind w:left="-180" w:firstLine="270"/>
        <w:rPr>
          <w:b/>
          <w:bCs/>
          <w:sz w:val="28"/>
          <w:szCs w:val="28"/>
          <w:u w:val="single"/>
        </w:rPr>
      </w:pPr>
    </w:p>
    <w:p w14:paraId="70CDBA6D" w14:textId="0C086C2A" w:rsidR="006D7E2F" w:rsidRPr="006D7E2F" w:rsidRDefault="006D7E2F" w:rsidP="006D7E2F">
      <w:pPr>
        <w:ind w:left="-180" w:firstLine="270"/>
        <w:rPr>
          <w:b/>
          <w:bCs/>
          <w:sz w:val="28"/>
          <w:szCs w:val="28"/>
          <w:u w:val="single"/>
        </w:rPr>
      </w:pPr>
      <w:r w:rsidRPr="007075AA">
        <w:rPr>
          <w:b/>
          <w:bCs/>
          <w:sz w:val="28"/>
          <w:szCs w:val="28"/>
          <w:u w:val="single"/>
        </w:rPr>
        <w:t>Summary</w:t>
      </w:r>
    </w:p>
    <w:p w14:paraId="1F75D020" w14:textId="77777777" w:rsidR="006D7E2F" w:rsidRPr="009F7B3C" w:rsidRDefault="006D7E2F" w:rsidP="006D7E2F">
      <w:pPr>
        <w:ind w:left="-180"/>
      </w:pPr>
      <w:r w:rsidRPr="009F7B3C">
        <w:t xml:space="preserve">We recognize a Disaster Recovery Plan (DRP) is a core component </w:t>
      </w:r>
      <w:r>
        <w:t xml:space="preserve">of a </w:t>
      </w:r>
      <w:r w:rsidRPr="009F7B3C">
        <w:t xml:space="preserve">successful </w:t>
      </w:r>
      <w:r>
        <w:t>going concern plan</w:t>
      </w:r>
      <w:r w:rsidRPr="009F7B3C">
        <w:t xml:space="preserve"> as a Texas retail electric provider. </w:t>
      </w:r>
      <w:r>
        <w:t>Ironhorse Power Services (Ironhorse) has</w:t>
      </w:r>
      <w:r w:rsidRPr="009F7B3C">
        <w:t xml:space="preserve"> </w:t>
      </w:r>
      <w:r>
        <w:t xml:space="preserve">adopted best practices in vendor support and </w:t>
      </w:r>
      <w:r w:rsidRPr="009F7B3C">
        <w:t>alternative work</w:t>
      </w:r>
      <w:r>
        <w:t>-digital file storing</w:t>
      </w:r>
      <w:r w:rsidRPr="009F7B3C">
        <w:t xml:space="preserve"> locations</w:t>
      </w:r>
      <w:r>
        <w:t xml:space="preserve">. </w:t>
      </w:r>
      <w:r w:rsidRPr="009F7B3C">
        <w:t xml:space="preserve">  We also plan </w:t>
      </w:r>
      <w:r>
        <w:t xml:space="preserve">in </w:t>
      </w:r>
      <w:r w:rsidRPr="009F7B3C">
        <w:t xml:space="preserve">utilizing the latest technology sourced from today’s “digital data cloud” and have adopted industry best practices in data migration, location, and backup procedures. </w:t>
      </w:r>
      <w:r>
        <w:t xml:space="preserve">Sourcing our information from the cloud also provides us the added security of </w:t>
      </w:r>
      <w:r w:rsidRPr="009F7B3C">
        <w:t>work</w:t>
      </w:r>
      <w:r>
        <w:t>ing</w:t>
      </w:r>
      <w:r w:rsidRPr="009F7B3C">
        <w:t xml:space="preserve"> from home at any given time if the situation dictates</w:t>
      </w:r>
    </w:p>
    <w:p w14:paraId="05BE1E17" w14:textId="77777777" w:rsidR="006D7E2F" w:rsidRPr="009F7B3C" w:rsidRDefault="006D7E2F" w:rsidP="006D7E2F">
      <w:pPr>
        <w:ind w:left="-180" w:firstLine="270"/>
      </w:pPr>
    </w:p>
    <w:p w14:paraId="69951040" w14:textId="77777777" w:rsidR="006D7E2F" w:rsidRPr="009F7B3C" w:rsidRDefault="006D7E2F" w:rsidP="006D7E2F">
      <w:pPr>
        <w:ind w:left="-180"/>
      </w:pPr>
      <w:r w:rsidRPr="009F7B3C">
        <w:t>Ironhorse</w:t>
      </w:r>
      <w:r>
        <w:t xml:space="preserve"> </w:t>
      </w:r>
      <w:r w:rsidRPr="009F7B3C">
        <w:t xml:space="preserve">has diligently diversified our operational software risk by outsourcing key components of our operating platform.  The daily operating process will include an active data migration and system backup between the various systems This will provide us added security and support with the addition of two locations to independently store and file data outside our internal infrastructure. </w:t>
      </w:r>
    </w:p>
    <w:p w14:paraId="169D546C" w14:textId="77777777" w:rsidR="006D7E2F" w:rsidRPr="009F7B3C" w:rsidRDefault="006D7E2F" w:rsidP="006D7E2F">
      <w:pPr>
        <w:ind w:left="-180"/>
      </w:pPr>
    </w:p>
    <w:p w14:paraId="2CBC7FAA" w14:textId="77777777" w:rsidR="006D7E2F" w:rsidRPr="009F7B3C" w:rsidRDefault="006D7E2F" w:rsidP="006D7E2F">
      <w:pPr>
        <w:ind w:left="-180"/>
      </w:pPr>
      <w:r w:rsidRPr="009F7B3C">
        <w:t xml:space="preserve">EC Infosystems will run our billing and payment collection systems. POWWR will run our risk and demand forecasting system.  Both platforms will operate from their individual cloud accounts and both organizations have received a “Peak 10” rating for digital security.  Both organizations have a proven track record of maintaining “best in class” security and operational run times. </w:t>
      </w:r>
    </w:p>
    <w:p w14:paraId="567A5AB9" w14:textId="77777777" w:rsidR="006D7E2F" w:rsidRPr="009F7B3C" w:rsidRDefault="006D7E2F" w:rsidP="006D7E2F">
      <w:pPr>
        <w:ind w:left="-180"/>
      </w:pPr>
    </w:p>
    <w:p w14:paraId="2EF74D5D" w14:textId="77777777" w:rsidR="006D7E2F" w:rsidRPr="009F7B3C" w:rsidRDefault="006D7E2F" w:rsidP="006D7E2F">
      <w:pPr>
        <w:ind w:left="-180"/>
      </w:pPr>
      <w:r>
        <w:t>Vital and daily c</w:t>
      </w:r>
      <w:r w:rsidRPr="009F7B3C">
        <w:t xml:space="preserve">ommunication with ERCOT </w:t>
      </w:r>
      <w:r>
        <w:t>and individual Texas utilities are</w:t>
      </w:r>
      <w:r w:rsidRPr="009F7B3C">
        <w:t xml:space="preserve"> supported by </w:t>
      </w:r>
      <w:r>
        <w:t xml:space="preserve">their individual </w:t>
      </w:r>
      <w:r w:rsidRPr="009F7B3C">
        <w:t>web</w:t>
      </w:r>
      <w:r>
        <w:t xml:space="preserve"> portals.  Access has been verified and received from various locations outside the traditional office environment.  Employee contact listings and </w:t>
      </w:r>
      <w:r w:rsidRPr="009F7B3C">
        <w:t>phone communication</w:t>
      </w:r>
      <w:r>
        <w:t xml:space="preserve">s are </w:t>
      </w:r>
      <w:r w:rsidRPr="009F7B3C">
        <w:t>directed to variou</w:t>
      </w:r>
      <w:r>
        <w:t>s</w:t>
      </w:r>
      <w:r w:rsidRPr="009F7B3C">
        <w:t xml:space="preserve"> employee mobile devices. </w:t>
      </w:r>
    </w:p>
    <w:p w14:paraId="605FC0AD" w14:textId="77777777" w:rsidR="006D7E2F" w:rsidRPr="009F7B3C" w:rsidRDefault="006D7E2F" w:rsidP="006D7E2F">
      <w:pPr>
        <w:ind w:left="-180"/>
      </w:pPr>
    </w:p>
    <w:p w14:paraId="024CC244" w14:textId="77777777" w:rsidR="006D7E2F" w:rsidRDefault="006D7E2F" w:rsidP="006D7E2F">
      <w:pPr>
        <w:ind w:left="-180"/>
      </w:pPr>
    </w:p>
    <w:p w14:paraId="546F8929" w14:textId="3A2A42AD" w:rsidR="006D7E2F" w:rsidRPr="009F7B3C" w:rsidRDefault="006D7E2F" w:rsidP="006D7E2F">
      <w:pPr>
        <w:ind w:left="-180"/>
      </w:pPr>
      <w:r w:rsidRPr="009F7B3C">
        <w:lastRenderedPageBreak/>
        <w:t xml:space="preserve">Our DRP plan is divided up into the following categories </w:t>
      </w:r>
    </w:p>
    <w:p w14:paraId="55EDBB57" w14:textId="77777777" w:rsidR="006D7E2F" w:rsidRPr="009F7B3C" w:rsidRDefault="006D7E2F" w:rsidP="006D7E2F">
      <w:pPr>
        <w:pStyle w:val="ListParagraph"/>
        <w:ind w:left="810"/>
      </w:pPr>
    </w:p>
    <w:p w14:paraId="1C38E375" w14:textId="77777777" w:rsidR="006D7E2F" w:rsidRPr="00A848B2" w:rsidRDefault="006D7E2F" w:rsidP="006D7E2F">
      <w:pPr>
        <w:pStyle w:val="ListParagraph"/>
        <w:numPr>
          <w:ilvl w:val="0"/>
          <w:numId w:val="22"/>
        </w:numPr>
        <w:spacing w:after="0" w:line="240" w:lineRule="auto"/>
        <w:rPr>
          <w:b/>
          <w:bCs/>
        </w:rPr>
      </w:pPr>
      <w:r w:rsidRPr="00A848B2">
        <w:rPr>
          <w:b/>
          <w:bCs/>
        </w:rPr>
        <w:t>Weather Events – back up the operational center(s)</w:t>
      </w:r>
    </w:p>
    <w:p w14:paraId="4D7AB3BA" w14:textId="77777777" w:rsidR="006D7E2F" w:rsidRPr="00A848B2" w:rsidRDefault="006D7E2F" w:rsidP="006D7E2F">
      <w:pPr>
        <w:pStyle w:val="ListParagraph"/>
        <w:numPr>
          <w:ilvl w:val="0"/>
          <w:numId w:val="22"/>
        </w:numPr>
        <w:spacing w:after="0" w:line="240" w:lineRule="auto"/>
        <w:rPr>
          <w:b/>
          <w:bCs/>
        </w:rPr>
      </w:pPr>
      <w:r w:rsidRPr="00A848B2">
        <w:rPr>
          <w:b/>
          <w:bCs/>
        </w:rPr>
        <w:t>Cyber Security – digital data backup procedures</w:t>
      </w:r>
    </w:p>
    <w:p w14:paraId="774DD78F" w14:textId="77777777" w:rsidR="006D7E2F" w:rsidRPr="00A848B2" w:rsidRDefault="006D7E2F" w:rsidP="006D7E2F">
      <w:pPr>
        <w:pStyle w:val="ListParagraph"/>
        <w:numPr>
          <w:ilvl w:val="0"/>
          <w:numId w:val="22"/>
        </w:numPr>
        <w:spacing w:after="0" w:line="240" w:lineRule="auto"/>
        <w:rPr>
          <w:b/>
          <w:bCs/>
        </w:rPr>
      </w:pPr>
      <w:r w:rsidRPr="00A848B2">
        <w:rPr>
          <w:b/>
          <w:bCs/>
        </w:rPr>
        <w:t xml:space="preserve">Job Functional backup support </w:t>
      </w:r>
    </w:p>
    <w:p w14:paraId="005385DC" w14:textId="77777777" w:rsidR="006D7E2F" w:rsidRPr="009F7B3C" w:rsidRDefault="006D7E2F" w:rsidP="006D7E2F"/>
    <w:p w14:paraId="1F42F49B" w14:textId="77777777" w:rsidR="006D7E2F" w:rsidRPr="009F7B3C" w:rsidRDefault="006D7E2F" w:rsidP="006D7E2F"/>
    <w:p w14:paraId="66AEB42D" w14:textId="77777777" w:rsidR="006D7E2F" w:rsidRPr="009F7B3C" w:rsidRDefault="006D7E2F" w:rsidP="006D7E2F">
      <w:pPr>
        <w:rPr>
          <w:b/>
          <w:bCs/>
          <w:u w:val="single"/>
        </w:rPr>
      </w:pPr>
    </w:p>
    <w:p w14:paraId="574310B7" w14:textId="77777777" w:rsidR="006D7E2F" w:rsidRPr="009F7B3C" w:rsidRDefault="006D7E2F" w:rsidP="006D7E2F">
      <w:pPr>
        <w:pStyle w:val="ListParagraph"/>
        <w:numPr>
          <w:ilvl w:val="0"/>
          <w:numId w:val="19"/>
        </w:numPr>
        <w:spacing w:after="0" w:line="240" w:lineRule="auto"/>
        <w:ind w:left="360" w:hanging="540"/>
        <w:rPr>
          <w:b/>
          <w:bCs/>
          <w:u w:val="single"/>
        </w:rPr>
      </w:pPr>
      <w:r w:rsidRPr="009F7B3C">
        <w:rPr>
          <w:b/>
          <w:bCs/>
          <w:u w:val="single"/>
        </w:rPr>
        <w:t xml:space="preserve"> Weather Events – back up the operational center(s)</w:t>
      </w:r>
    </w:p>
    <w:p w14:paraId="42E52BAD" w14:textId="77777777" w:rsidR="006D7E2F" w:rsidRPr="009F7B3C" w:rsidRDefault="006D7E2F" w:rsidP="006D7E2F">
      <w:pPr>
        <w:ind w:left="810" w:hanging="450"/>
        <w:rPr>
          <w:b/>
          <w:bCs/>
          <w:u w:val="single"/>
        </w:rPr>
      </w:pPr>
    </w:p>
    <w:p w14:paraId="6CC9549A" w14:textId="55C54EE4" w:rsidR="006D7E2F" w:rsidRDefault="006D7E2F" w:rsidP="006D7E2F">
      <w:r w:rsidRPr="009F7B3C">
        <w:t xml:space="preserve">Our current location of 5340 Alpha Road, Dallas Texas is a stand-alone building located on high ground off a major street in the North Dallas Galleria commercial district. </w:t>
      </w:r>
    </w:p>
    <w:p w14:paraId="0D7076C5" w14:textId="2217808E" w:rsidR="006D7E2F" w:rsidRDefault="006D7E2F" w:rsidP="006D7E2F">
      <w:r>
        <w:t xml:space="preserve">We have access to additional locations </w:t>
      </w:r>
      <w:r w:rsidR="00873C8A">
        <w:t xml:space="preserve">through our cloud hosting </w:t>
      </w:r>
      <w:proofErr w:type="spellStart"/>
      <w:r w:rsidR="00873C8A">
        <w:t>agreemnts</w:t>
      </w:r>
      <w:proofErr w:type="spellEnd"/>
    </w:p>
    <w:p w14:paraId="7AAB7D02" w14:textId="004CCBE3" w:rsidR="00873C8A" w:rsidRDefault="00873C8A" w:rsidP="00873C8A">
      <w:pPr>
        <w:pStyle w:val="ListParagraph"/>
        <w:numPr>
          <w:ilvl w:val="0"/>
          <w:numId w:val="26"/>
        </w:numPr>
      </w:pPr>
      <w:r>
        <w:t xml:space="preserve">EC Information – Billing platform </w:t>
      </w:r>
      <w:proofErr w:type="gramStart"/>
      <w:r>
        <w:t>Union(</w:t>
      </w:r>
      <w:proofErr w:type="gramEnd"/>
      <w:r>
        <w:t>NYC) – New York</w:t>
      </w:r>
    </w:p>
    <w:p w14:paraId="03CD5225" w14:textId="77777777" w:rsidR="00873C8A" w:rsidRDefault="00873C8A" w:rsidP="00873C8A">
      <w:pPr>
        <w:pStyle w:val="ListParagraph"/>
        <w:numPr>
          <w:ilvl w:val="0"/>
          <w:numId w:val="26"/>
        </w:numPr>
      </w:pPr>
      <w:r>
        <w:t xml:space="preserve">POWWR Risk Management System – Newtown Conn. </w:t>
      </w:r>
    </w:p>
    <w:p w14:paraId="1D4B3E5B" w14:textId="632E9C7D" w:rsidR="00873C8A" w:rsidRPr="009F7B3C" w:rsidRDefault="00873C8A" w:rsidP="00873C8A">
      <w:proofErr w:type="gramStart"/>
      <w:r>
        <w:t>Also</w:t>
      </w:r>
      <w:proofErr w:type="gramEnd"/>
      <w:r>
        <w:t xml:space="preserve"> our contract staff work out of those locations  </w:t>
      </w:r>
    </w:p>
    <w:p w14:paraId="02BF801A" w14:textId="77777777" w:rsidR="006D7E2F" w:rsidRPr="009F7B3C" w:rsidRDefault="006D7E2F" w:rsidP="006D7E2F"/>
    <w:p w14:paraId="07A20525" w14:textId="77777777" w:rsidR="006D7E2F" w:rsidRPr="009F7B3C" w:rsidRDefault="006D7E2F" w:rsidP="006D7E2F">
      <w:pPr>
        <w:ind w:firstLine="10"/>
      </w:pPr>
      <w:r w:rsidRPr="009F7B3C">
        <w:t>Should access be restricted due to an unanticipated weather event or power outage, we will follow the plan below until access and power is fully restored.</w:t>
      </w:r>
    </w:p>
    <w:p w14:paraId="6DAC098C" w14:textId="77777777" w:rsidR="006D7E2F" w:rsidRPr="009F7B3C" w:rsidRDefault="006D7E2F" w:rsidP="006D7E2F">
      <w:pPr>
        <w:ind w:firstLine="10"/>
      </w:pPr>
    </w:p>
    <w:p w14:paraId="7BF73E07" w14:textId="77777777" w:rsidR="006D7E2F" w:rsidRPr="00E80A1E" w:rsidRDefault="006D7E2F" w:rsidP="006D7E2F">
      <w:pPr>
        <w:pStyle w:val="ListParagraph"/>
        <w:numPr>
          <w:ilvl w:val="0"/>
          <w:numId w:val="20"/>
        </w:numPr>
        <w:spacing w:after="0" w:line="240" w:lineRule="auto"/>
        <w:rPr>
          <w:b/>
          <w:bCs/>
        </w:rPr>
      </w:pPr>
      <w:r w:rsidRPr="00E80A1E">
        <w:rPr>
          <w:b/>
          <w:bCs/>
        </w:rPr>
        <w:t>Work from home since all employees have laptop or desktop access to our cloud based operations.</w:t>
      </w:r>
    </w:p>
    <w:p w14:paraId="57137F1D" w14:textId="77777777" w:rsidR="006D7E2F" w:rsidRPr="009F7B3C" w:rsidRDefault="006D7E2F" w:rsidP="006D7E2F">
      <w:pPr>
        <w:pStyle w:val="ListParagraph"/>
        <w:numPr>
          <w:ilvl w:val="0"/>
          <w:numId w:val="20"/>
        </w:numPr>
        <w:spacing w:after="0" w:line="240" w:lineRule="auto"/>
      </w:pPr>
      <w:r w:rsidRPr="009F7B3C">
        <w:t xml:space="preserve">Meet through zoom or through Microsoft teams messaging when necessary </w:t>
      </w:r>
    </w:p>
    <w:p w14:paraId="22005D05" w14:textId="77777777" w:rsidR="006D7E2F" w:rsidRDefault="006D7E2F" w:rsidP="006D7E2F">
      <w:pPr>
        <w:pStyle w:val="ListParagraph"/>
        <w:numPr>
          <w:ilvl w:val="0"/>
          <w:numId w:val="20"/>
        </w:numPr>
        <w:spacing w:after="0" w:line="240" w:lineRule="auto"/>
      </w:pPr>
      <w:r w:rsidRPr="009F7B3C">
        <w:t xml:space="preserve">If the outage becomes extended, move operations to the following </w:t>
      </w:r>
      <w:proofErr w:type="gramStart"/>
      <w:r w:rsidRPr="009F7B3C">
        <w:t>address;</w:t>
      </w:r>
      <w:proofErr w:type="gramEnd"/>
    </w:p>
    <w:p w14:paraId="02FD485C" w14:textId="77777777" w:rsidR="006D7E2F" w:rsidRDefault="006D7E2F" w:rsidP="006D7E2F">
      <w:pPr>
        <w:pStyle w:val="ListParagraph"/>
        <w:ind w:left="730"/>
      </w:pPr>
    </w:p>
    <w:p w14:paraId="49CDA619" w14:textId="77777777" w:rsidR="006D7E2F" w:rsidRPr="00E80A1E" w:rsidRDefault="006D7E2F" w:rsidP="006D7E2F">
      <w:pPr>
        <w:pStyle w:val="ListParagraph"/>
        <w:numPr>
          <w:ilvl w:val="0"/>
          <w:numId w:val="25"/>
        </w:numPr>
        <w:spacing w:after="0" w:line="240" w:lineRule="auto"/>
        <w:rPr>
          <w:b/>
          <w:bCs/>
          <w:color w:val="000000" w:themeColor="text1"/>
        </w:rPr>
      </w:pPr>
      <w:r w:rsidRPr="00E80A1E">
        <w:rPr>
          <w:b/>
          <w:bCs/>
          <w:color w:val="000000" w:themeColor="text1"/>
        </w:rPr>
        <w:t xml:space="preserve">11120 - </w:t>
      </w:r>
      <w:proofErr w:type="spellStart"/>
      <w:r w:rsidRPr="00E80A1E">
        <w:rPr>
          <w:b/>
          <w:bCs/>
          <w:color w:val="000000" w:themeColor="text1"/>
        </w:rPr>
        <w:t>Russwood</w:t>
      </w:r>
      <w:proofErr w:type="spellEnd"/>
      <w:r w:rsidRPr="00E80A1E">
        <w:rPr>
          <w:b/>
          <w:bCs/>
          <w:color w:val="000000" w:themeColor="text1"/>
        </w:rPr>
        <w:t xml:space="preserve"> Cr Dallas Texas 75229</w:t>
      </w:r>
    </w:p>
    <w:p w14:paraId="59CE9FA2" w14:textId="065F2B2F" w:rsidR="006D7E2F" w:rsidRPr="006D7E2F" w:rsidRDefault="006D7E2F" w:rsidP="006D7E2F">
      <w:pPr>
        <w:pStyle w:val="ListParagraph"/>
        <w:numPr>
          <w:ilvl w:val="0"/>
          <w:numId w:val="25"/>
        </w:numPr>
        <w:spacing w:after="0" w:line="240" w:lineRule="auto"/>
        <w:rPr>
          <w:b/>
          <w:bCs/>
          <w:color w:val="000000" w:themeColor="text1"/>
        </w:rPr>
      </w:pPr>
      <w:r w:rsidRPr="00E80A1E">
        <w:rPr>
          <w:b/>
          <w:bCs/>
          <w:color w:val="000000" w:themeColor="text1"/>
        </w:rPr>
        <w:t xml:space="preserve">15892 </w:t>
      </w:r>
      <w:proofErr w:type="spellStart"/>
      <w:r w:rsidRPr="00E80A1E">
        <w:rPr>
          <w:b/>
          <w:bCs/>
          <w:color w:val="000000" w:themeColor="text1"/>
        </w:rPr>
        <w:t>Bearcreek</w:t>
      </w:r>
      <w:proofErr w:type="spellEnd"/>
      <w:r w:rsidRPr="00E80A1E">
        <w:rPr>
          <w:b/>
          <w:bCs/>
          <w:color w:val="000000" w:themeColor="text1"/>
        </w:rPr>
        <w:t xml:space="preserve"> PKWY, Redmond </w:t>
      </w:r>
      <w:proofErr w:type="spellStart"/>
      <w:r w:rsidRPr="00E80A1E">
        <w:rPr>
          <w:b/>
          <w:bCs/>
          <w:color w:val="000000" w:themeColor="text1"/>
        </w:rPr>
        <w:t>Wa</w:t>
      </w:r>
      <w:proofErr w:type="spellEnd"/>
      <w:r w:rsidRPr="00E80A1E">
        <w:rPr>
          <w:b/>
          <w:bCs/>
          <w:color w:val="000000" w:themeColor="text1"/>
        </w:rPr>
        <w:t xml:space="preserve"> 98052 (Backup Risk Facility – Cloud based)</w:t>
      </w:r>
    </w:p>
    <w:p w14:paraId="66CEEACF" w14:textId="77777777" w:rsidR="006D7E2F" w:rsidRPr="009F7B3C" w:rsidRDefault="006D7E2F" w:rsidP="006D7E2F"/>
    <w:p w14:paraId="2B12E2B0" w14:textId="77777777" w:rsidR="006D7E2F" w:rsidRDefault="006D7E2F" w:rsidP="006D7E2F">
      <w:pPr>
        <w:pStyle w:val="ListParagraph"/>
        <w:numPr>
          <w:ilvl w:val="0"/>
          <w:numId w:val="18"/>
        </w:numPr>
        <w:spacing w:after="0" w:line="240" w:lineRule="auto"/>
        <w:ind w:left="450" w:hanging="540"/>
        <w:rPr>
          <w:b/>
          <w:bCs/>
          <w:u w:val="single"/>
        </w:rPr>
      </w:pPr>
      <w:r w:rsidRPr="009F7B3C">
        <w:rPr>
          <w:b/>
          <w:bCs/>
          <w:u w:val="single"/>
        </w:rPr>
        <w:t>Cyber Security – digital data backup procedures</w:t>
      </w:r>
    </w:p>
    <w:p w14:paraId="0E8F4B76" w14:textId="77777777" w:rsidR="006D7E2F" w:rsidRPr="009F7B3C" w:rsidRDefault="006D7E2F" w:rsidP="006D7E2F">
      <w:pPr>
        <w:pStyle w:val="ListParagraph"/>
        <w:ind w:left="360"/>
        <w:rPr>
          <w:b/>
          <w:bCs/>
          <w:u w:val="single"/>
        </w:rPr>
      </w:pPr>
    </w:p>
    <w:p w14:paraId="2A4EB952" w14:textId="77777777" w:rsidR="006D7E2F" w:rsidRDefault="006D7E2F" w:rsidP="006D7E2F">
      <w:pPr>
        <w:pStyle w:val="ListParagraph"/>
        <w:numPr>
          <w:ilvl w:val="0"/>
          <w:numId w:val="21"/>
        </w:numPr>
        <w:spacing w:after="0" w:line="240" w:lineRule="auto"/>
      </w:pPr>
      <w:r>
        <w:t xml:space="preserve">Ironhorse maintains current email and web cyber security software on all employee computers. </w:t>
      </w:r>
    </w:p>
    <w:p w14:paraId="29285542" w14:textId="77777777" w:rsidR="006D7E2F" w:rsidRPr="009F7B3C" w:rsidRDefault="006D7E2F" w:rsidP="006D7E2F">
      <w:pPr>
        <w:pStyle w:val="ListParagraph"/>
        <w:numPr>
          <w:ilvl w:val="0"/>
          <w:numId w:val="21"/>
        </w:numPr>
        <w:spacing w:after="0" w:line="240" w:lineRule="auto"/>
      </w:pPr>
      <w:r w:rsidRPr="009F7B3C">
        <w:t>Ironhorse maintains a proactive digital data backup procedure in the cloud for our internal records.</w:t>
      </w:r>
    </w:p>
    <w:p w14:paraId="0B5B8FFC" w14:textId="77777777" w:rsidR="006D7E2F" w:rsidRPr="009F7B3C" w:rsidRDefault="006D7E2F" w:rsidP="006D7E2F">
      <w:pPr>
        <w:pStyle w:val="ListParagraph"/>
        <w:numPr>
          <w:ilvl w:val="0"/>
          <w:numId w:val="21"/>
        </w:numPr>
        <w:spacing w:after="0" w:line="240" w:lineRule="auto"/>
      </w:pPr>
      <w:r w:rsidRPr="009F7B3C">
        <w:t>Ironhorse will receive daily a backup file from our external software vendors which we will incorporate into our daily records</w:t>
      </w:r>
    </w:p>
    <w:p w14:paraId="52AF6334" w14:textId="77777777" w:rsidR="006D7E2F" w:rsidRDefault="006D7E2F" w:rsidP="006D7E2F">
      <w:pPr>
        <w:pStyle w:val="ListParagraph"/>
        <w:numPr>
          <w:ilvl w:val="0"/>
          <w:numId w:val="21"/>
        </w:numPr>
        <w:spacing w:after="0" w:line="240" w:lineRule="auto"/>
      </w:pPr>
      <w:r w:rsidRPr="009F7B3C">
        <w:t xml:space="preserve">EC Infosystems and POWWR will maintain </w:t>
      </w:r>
      <w:r>
        <w:t xml:space="preserve">files and provide backup at their specific cloud locations. </w:t>
      </w:r>
    </w:p>
    <w:p w14:paraId="2D7DA59F" w14:textId="77777777" w:rsidR="006D7E2F" w:rsidRDefault="006D7E2F" w:rsidP="006D7E2F"/>
    <w:p w14:paraId="48479589" w14:textId="77777777" w:rsidR="006D7E2F" w:rsidRDefault="006D7E2F" w:rsidP="006D7E2F"/>
    <w:p w14:paraId="7D407B43" w14:textId="77777777" w:rsidR="006D7E2F" w:rsidRDefault="006D7E2F" w:rsidP="006D7E2F">
      <w:pPr>
        <w:pStyle w:val="ListParagraph"/>
        <w:numPr>
          <w:ilvl w:val="0"/>
          <w:numId w:val="23"/>
        </w:numPr>
        <w:spacing w:after="0" w:line="240" w:lineRule="auto"/>
        <w:rPr>
          <w:b/>
          <w:bCs/>
          <w:u w:val="single"/>
        </w:rPr>
      </w:pPr>
      <w:r w:rsidRPr="00C83A71">
        <w:rPr>
          <w:b/>
          <w:bCs/>
          <w:u w:val="single"/>
        </w:rPr>
        <w:t>Job Function and backup support</w:t>
      </w:r>
      <w:r>
        <w:rPr>
          <w:b/>
          <w:bCs/>
          <w:u w:val="single"/>
        </w:rPr>
        <w:t xml:space="preserve"> _ all cloud based with backup locally and remote</w:t>
      </w:r>
    </w:p>
    <w:p w14:paraId="2DC5B905" w14:textId="77777777" w:rsidR="006D7E2F" w:rsidRDefault="006D7E2F" w:rsidP="006D7E2F">
      <w:pPr>
        <w:rPr>
          <w:b/>
          <w:bCs/>
          <w:u w:val="single"/>
        </w:rPr>
      </w:pPr>
    </w:p>
    <w:p w14:paraId="1557BC13" w14:textId="77777777" w:rsidR="006D7E2F" w:rsidRDefault="006D7E2F" w:rsidP="006D7E2F">
      <w:pPr>
        <w:pStyle w:val="ListParagraph"/>
        <w:numPr>
          <w:ilvl w:val="0"/>
          <w:numId w:val="24"/>
        </w:numPr>
        <w:spacing w:after="0" w:line="240" w:lineRule="auto"/>
      </w:pPr>
      <w:r>
        <w:lastRenderedPageBreak/>
        <w:t>Our key supporting software, ERCOT REP portal access, and individual Utility portals have primary and secondary login access.</w:t>
      </w:r>
    </w:p>
    <w:p w14:paraId="61D6F4C6" w14:textId="77777777" w:rsidR="006D7E2F" w:rsidRPr="00182CB7" w:rsidRDefault="006D7E2F" w:rsidP="006D7E2F">
      <w:pPr>
        <w:pStyle w:val="ListParagraph"/>
        <w:numPr>
          <w:ilvl w:val="0"/>
          <w:numId w:val="24"/>
        </w:numPr>
        <w:spacing w:after="0" w:line="240" w:lineRule="auto"/>
      </w:pPr>
      <w:r>
        <w:t xml:space="preserve">Employees are cross trained on functions beyond their normal responsibilities and provide back up while team members are on vacation or out of the office.  </w:t>
      </w:r>
    </w:p>
    <w:p w14:paraId="0E7941E6" w14:textId="77777777" w:rsidR="006D7E2F" w:rsidRPr="00033A99" w:rsidRDefault="006D7E2F" w:rsidP="006D7E2F">
      <w:pPr>
        <w:ind w:left="360"/>
        <w:rPr>
          <w:b/>
          <w:bCs/>
          <w:u w:val="single"/>
        </w:rPr>
      </w:pPr>
    </w:p>
    <w:p w14:paraId="5CE1D298" w14:textId="77777777" w:rsidR="006D7E2F" w:rsidRPr="009F7B3C" w:rsidRDefault="006D7E2F" w:rsidP="006D7E2F"/>
    <w:p w14:paraId="66EFD6BE" w14:textId="77777777" w:rsidR="006D7E2F" w:rsidRPr="00D31890" w:rsidRDefault="006D7E2F" w:rsidP="00D31890">
      <w:pPr>
        <w:spacing w:after="226" w:line="259" w:lineRule="auto"/>
        <w:ind w:left="10" w:right="-13"/>
        <w:jc w:val="right"/>
        <w:rPr>
          <w:sz w:val="16"/>
        </w:rPr>
      </w:pPr>
    </w:p>
    <w:sectPr w:rsidR="006D7E2F" w:rsidRPr="00D31890">
      <w:headerReference w:type="even" r:id="rId15"/>
      <w:headerReference w:type="default" r:id="rId16"/>
      <w:headerReference w:type="first" r:id="rId17"/>
      <w:pgSz w:w="12240" w:h="15840"/>
      <w:pgMar w:top="965" w:right="1418" w:bottom="1061" w:left="1699"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FC263" w14:textId="77777777" w:rsidR="0058577F" w:rsidRDefault="0058577F">
      <w:pPr>
        <w:spacing w:after="0" w:line="240" w:lineRule="auto"/>
      </w:pPr>
      <w:r>
        <w:separator/>
      </w:r>
    </w:p>
  </w:endnote>
  <w:endnote w:type="continuationSeparator" w:id="0">
    <w:p w14:paraId="2C7D44A4" w14:textId="77777777" w:rsidR="0058577F" w:rsidRDefault="005857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2"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643E1" w14:textId="123414E8" w:rsidR="002B2693" w:rsidRPr="00D31890" w:rsidRDefault="002B2693" w:rsidP="002B2693">
    <w:pPr>
      <w:spacing w:after="226" w:line="259" w:lineRule="auto"/>
      <w:ind w:left="10" w:right="-13"/>
      <w:jc w:val="right"/>
    </w:pPr>
    <w:r>
      <w:rPr>
        <w:sz w:val="16"/>
      </w:rPr>
      <w:t xml:space="preserve">IHPS Risk Management Policy – </w:t>
    </w:r>
    <w:proofErr w:type="gramStart"/>
    <w:r>
      <w:rPr>
        <w:sz w:val="16"/>
      </w:rPr>
      <w:t>February,</w:t>
    </w:r>
    <w:proofErr w:type="gramEnd"/>
    <w:r>
      <w:rPr>
        <w:sz w:val="16"/>
      </w:rPr>
      <w:t xml:space="preserve"> 2022</w:t>
    </w:r>
    <w:r>
      <w:rPr>
        <w:i/>
        <w:sz w:val="16"/>
      </w:rPr>
      <w:t xml:space="preserve"> Confidential</w:t>
    </w:r>
  </w:p>
  <w:p w14:paraId="2E7CE5BD" w14:textId="77777777" w:rsidR="002B2693" w:rsidRDefault="002B26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9FFC5" w14:textId="77777777" w:rsidR="002B2693" w:rsidRPr="00D31890" w:rsidRDefault="002B2693" w:rsidP="002B2693">
    <w:pPr>
      <w:spacing w:after="226" w:line="259" w:lineRule="auto"/>
      <w:ind w:left="10" w:right="-13"/>
      <w:jc w:val="right"/>
    </w:pPr>
    <w:r>
      <w:rPr>
        <w:sz w:val="16"/>
      </w:rPr>
      <w:t xml:space="preserve">IHPS Risk Management Policy – </w:t>
    </w:r>
    <w:proofErr w:type="gramStart"/>
    <w:r>
      <w:rPr>
        <w:sz w:val="16"/>
      </w:rPr>
      <w:t>February ,</w:t>
    </w:r>
    <w:proofErr w:type="gramEnd"/>
    <w:r>
      <w:rPr>
        <w:sz w:val="16"/>
      </w:rPr>
      <w:t xml:space="preserve"> 2022</w:t>
    </w:r>
    <w:r>
      <w:rPr>
        <w:i/>
        <w:sz w:val="16"/>
      </w:rPr>
      <w:t xml:space="preserve"> Confidential</w:t>
    </w:r>
  </w:p>
  <w:p w14:paraId="2F914A44" w14:textId="58D9475E" w:rsidR="0052677D" w:rsidRDefault="0052677D" w:rsidP="0052677D">
    <w:pPr>
      <w:pStyle w:val="Footer"/>
      <w:tabs>
        <w:tab w:val="clear" w:pos="4680"/>
        <w:tab w:val="clear" w:pos="9360"/>
      </w:tabs>
      <w:ind w:left="0" w:firstLine="0"/>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Pr>
        <w:caps/>
        <w:noProof/>
        <w:color w:val="4472C4" w:themeColor="accent1"/>
      </w:rPr>
      <w:t>2</w:t>
    </w:r>
    <w:r>
      <w:rPr>
        <w:caps/>
        <w:noProof/>
        <w:color w:val="4472C4" w:themeColor="accent1"/>
      </w:rPr>
      <w:fldChar w:fldCharType="end"/>
    </w:r>
  </w:p>
  <w:p w14:paraId="11BED5E4" w14:textId="77777777" w:rsidR="0052677D" w:rsidRDefault="005267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FF61D" w14:textId="77777777" w:rsidR="0052677D" w:rsidRDefault="0052677D" w:rsidP="0052677D">
    <w:pPr>
      <w:spacing w:after="226" w:line="259" w:lineRule="auto"/>
      <w:ind w:left="10" w:right="-13"/>
      <w:jc w:val="right"/>
      <w:rPr>
        <w:sz w:val="16"/>
      </w:rPr>
    </w:pPr>
  </w:p>
  <w:p w14:paraId="10B2003A" w14:textId="3B0F793F" w:rsidR="0052677D" w:rsidRDefault="0052677D" w:rsidP="0052677D">
    <w:pPr>
      <w:spacing w:after="226" w:line="259" w:lineRule="auto"/>
      <w:ind w:left="10" w:right="-13"/>
      <w:jc w:val="right"/>
    </w:pPr>
    <w:r>
      <w:rPr>
        <w:sz w:val="16"/>
      </w:rPr>
      <w:t>IHPS Risk Management Policy – February, 22</w:t>
    </w:r>
    <w:r>
      <w:rPr>
        <w:i/>
        <w:sz w:val="16"/>
      </w:rPr>
      <w:t xml:space="preserve"> Confidential</w:t>
    </w:r>
    <w:r>
      <w:rPr>
        <w:sz w:val="16"/>
      </w:rPr>
      <w:t xml:space="preserve"> </w:t>
    </w:r>
  </w:p>
  <w:p w14:paraId="31EA9DBC" w14:textId="77777777" w:rsidR="0052677D" w:rsidRDefault="005267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E4578" w14:textId="77777777" w:rsidR="0058577F" w:rsidRDefault="0058577F">
      <w:pPr>
        <w:spacing w:after="0" w:line="240" w:lineRule="auto"/>
      </w:pPr>
      <w:r>
        <w:separator/>
      </w:r>
    </w:p>
  </w:footnote>
  <w:footnote w:type="continuationSeparator" w:id="0">
    <w:p w14:paraId="4F660E78" w14:textId="77777777" w:rsidR="0058577F" w:rsidRDefault="005857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D7275" w14:textId="77777777" w:rsidR="00011D24" w:rsidRDefault="00011D24">
    <w:pPr>
      <w:spacing w:after="160" w:line="259" w:lineRule="auto"/>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3314D" w14:textId="77777777" w:rsidR="00011D24" w:rsidRDefault="00011D24">
    <w:pPr>
      <w:spacing w:after="160" w:line="259" w:lineRule="auto"/>
      <w:ind w:lef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A5A7F" w14:textId="77777777" w:rsidR="00011D24" w:rsidRDefault="00011D24">
    <w:pPr>
      <w:spacing w:after="160" w:line="259" w:lineRule="auto"/>
      <w:ind w:left="0"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D4504" w14:textId="77777777" w:rsidR="00011D24" w:rsidRDefault="00011D24">
    <w:pPr>
      <w:spacing w:after="160" w:line="259" w:lineRule="auto"/>
      <w:ind w:left="0" w:firstLine="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0A29" w14:textId="77777777" w:rsidR="00011D24" w:rsidRDefault="00BC5D66">
    <w:pPr>
      <w:spacing w:after="0" w:line="259" w:lineRule="auto"/>
      <w:ind w:left="0" w:firstLine="0"/>
    </w:pPr>
    <w:r>
      <w:rPr>
        <w:rFonts w:ascii="Calibri" w:eastAsia="Calibri" w:hAnsi="Calibri" w:cs="Calibri"/>
        <w:noProof/>
        <w:sz w:val="22"/>
      </w:rPr>
      <mc:AlternateContent>
        <mc:Choice Requires="wpg">
          <w:drawing>
            <wp:anchor distT="0" distB="0" distL="114300" distR="114300" simplePos="0" relativeHeight="251661312" behindDoc="0" locked="0" layoutInCell="1" allowOverlap="1" wp14:anchorId="15385DF6" wp14:editId="2E796529">
              <wp:simplePos x="0" y="0"/>
              <wp:positionH relativeFrom="page">
                <wp:posOffset>1060704</wp:posOffset>
              </wp:positionH>
              <wp:positionV relativeFrom="page">
                <wp:posOffset>1088136</wp:posOffset>
              </wp:positionV>
              <wp:extent cx="5830825" cy="18288"/>
              <wp:effectExtent l="0" t="0" r="0" b="0"/>
              <wp:wrapSquare wrapText="bothSides"/>
              <wp:docPr id="11403" name="Group 11403"/>
              <wp:cNvGraphicFramePr/>
              <a:graphic xmlns:a="http://schemas.openxmlformats.org/drawingml/2006/main">
                <a:graphicData uri="http://schemas.microsoft.com/office/word/2010/wordprocessingGroup">
                  <wpg:wgp>
                    <wpg:cNvGrpSpPr/>
                    <wpg:grpSpPr>
                      <a:xfrm>
                        <a:off x="0" y="0"/>
                        <a:ext cx="5830825" cy="18288"/>
                        <a:chOff x="0" y="0"/>
                        <a:chExt cx="5830825" cy="18288"/>
                      </a:xfrm>
                    </wpg:grpSpPr>
                    <wps:wsp>
                      <wps:cNvPr id="11974" name="Shape 11974"/>
                      <wps:cNvSpPr/>
                      <wps:spPr>
                        <a:xfrm>
                          <a:off x="0" y="0"/>
                          <a:ext cx="5830825" cy="18288"/>
                        </a:xfrm>
                        <a:custGeom>
                          <a:avLst/>
                          <a:gdLst/>
                          <a:ahLst/>
                          <a:cxnLst/>
                          <a:rect l="0" t="0" r="0" b="0"/>
                          <a:pathLst>
                            <a:path w="5830825" h="18288">
                              <a:moveTo>
                                <a:pt x="0" y="0"/>
                              </a:moveTo>
                              <a:lnTo>
                                <a:pt x="5830825" y="0"/>
                              </a:lnTo>
                              <a:lnTo>
                                <a:pt x="5830825"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1403" style="width:459.12pt;height:1.44pt;position:absolute;mso-position-horizontal-relative:page;mso-position-horizontal:absolute;margin-left:83.52pt;mso-position-vertical-relative:page;margin-top:85.68pt;" coordsize="58308,182">
              <v:shape id="Shape 11975" style="position:absolute;width:58308;height:182;left:0;top:0;" coordsize="5830825,18288" path="m0,0l5830825,0l5830825,18288l0,18288l0,0">
                <v:stroke weight="0pt" endcap="flat" joinstyle="miter" miterlimit="10" on="false" color="#000000" opacity="0"/>
                <v:fill on="true" color="#000000"/>
              </v:shape>
              <w10:wrap type="square"/>
            </v:group>
          </w:pict>
        </mc:Fallback>
      </mc:AlternateContent>
    </w:r>
    <w: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ADDB7" w14:textId="77777777" w:rsidR="00011D24" w:rsidRDefault="00BC5D66">
    <w:pPr>
      <w:spacing w:after="0" w:line="259" w:lineRule="auto"/>
      <w:ind w:left="0" w:firstLine="0"/>
    </w:pPr>
    <w:r>
      <w:rPr>
        <w:rFonts w:ascii="Calibri" w:eastAsia="Calibri" w:hAnsi="Calibri" w:cs="Calibri"/>
        <w:noProof/>
        <w:sz w:val="22"/>
      </w:rPr>
      <mc:AlternateContent>
        <mc:Choice Requires="wpg">
          <w:drawing>
            <wp:anchor distT="0" distB="0" distL="114300" distR="114300" simplePos="0" relativeHeight="251662336" behindDoc="0" locked="0" layoutInCell="1" allowOverlap="1" wp14:anchorId="022A919E" wp14:editId="362104F5">
              <wp:simplePos x="0" y="0"/>
              <wp:positionH relativeFrom="page">
                <wp:posOffset>1060704</wp:posOffset>
              </wp:positionH>
              <wp:positionV relativeFrom="page">
                <wp:posOffset>1088136</wp:posOffset>
              </wp:positionV>
              <wp:extent cx="5830825" cy="18288"/>
              <wp:effectExtent l="0" t="0" r="0" b="0"/>
              <wp:wrapSquare wrapText="bothSides"/>
              <wp:docPr id="11395" name="Group 11395"/>
              <wp:cNvGraphicFramePr/>
              <a:graphic xmlns:a="http://schemas.openxmlformats.org/drawingml/2006/main">
                <a:graphicData uri="http://schemas.microsoft.com/office/word/2010/wordprocessingGroup">
                  <wpg:wgp>
                    <wpg:cNvGrpSpPr/>
                    <wpg:grpSpPr>
                      <a:xfrm>
                        <a:off x="0" y="0"/>
                        <a:ext cx="5830825" cy="18288"/>
                        <a:chOff x="0" y="0"/>
                        <a:chExt cx="5830825" cy="18288"/>
                      </a:xfrm>
                    </wpg:grpSpPr>
                    <wps:wsp>
                      <wps:cNvPr id="11972" name="Shape 11972"/>
                      <wps:cNvSpPr/>
                      <wps:spPr>
                        <a:xfrm>
                          <a:off x="0" y="0"/>
                          <a:ext cx="5830825" cy="18288"/>
                        </a:xfrm>
                        <a:custGeom>
                          <a:avLst/>
                          <a:gdLst/>
                          <a:ahLst/>
                          <a:cxnLst/>
                          <a:rect l="0" t="0" r="0" b="0"/>
                          <a:pathLst>
                            <a:path w="5830825" h="18288">
                              <a:moveTo>
                                <a:pt x="0" y="0"/>
                              </a:moveTo>
                              <a:lnTo>
                                <a:pt x="5830825" y="0"/>
                              </a:lnTo>
                              <a:lnTo>
                                <a:pt x="5830825"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1395" style="width:459.12pt;height:1.44pt;position:absolute;mso-position-horizontal-relative:page;mso-position-horizontal:absolute;margin-left:83.52pt;mso-position-vertical-relative:page;margin-top:85.68pt;" coordsize="58308,182">
              <v:shape id="Shape 11973" style="position:absolute;width:58308;height:182;left:0;top:0;" coordsize="5830825,18288" path="m0,0l5830825,0l5830825,18288l0,18288l0,0">
                <v:stroke weight="0pt" endcap="flat" joinstyle="miter" miterlimit="10" on="false" color="#000000" opacity="0"/>
                <v:fill on="true" color="#000000"/>
              </v:shape>
              <w10:wrap type="square"/>
            </v:group>
          </w:pict>
        </mc:Fallback>
      </mc:AlternateConten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11370"/>
    <w:multiLevelType w:val="hybridMultilevel"/>
    <w:tmpl w:val="F918A3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9B3F0C"/>
    <w:multiLevelType w:val="hybridMultilevel"/>
    <w:tmpl w:val="E926DD7C"/>
    <w:lvl w:ilvl="0" w:tplc="6CE2A2BE">
      <w:start w:val="1"/>
      <w:numFmt w:val="bullet"/>
      <w:lvlText w:val="•"/>
      <w:lvlJc w:val="left"/>
      <w:pPr>
        <w:ind w:left="9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4A4BE82">
      <w:start w:val="1"/>
      <w:numFmt w:val="bullet"/>
      <w:lvlText w:val="o"/>
      <w:lvlJc w:val="left"/>
      <w:pPr>
        <w:ind w:left="16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18E800AC">
      <w:start w:val="1"/>
      <w:numFmt w:val="bullet"/>
      <w:lvlText w:val="▪"/>
      <w:lvlJc w:val="left"/>
      <w:pPr>
        <w:ind w:left="23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CD205A2">
      <w:start w:val="1"/>
      <w:numFmt w:val="bullet"/>
      <w:lvlText w:val="•"/>
      <w:lvlJc w:val="left"/>
      <w:pPr>
        <w:ind w:left="30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C06B5CC">
      <w:start w:val="1"/>
      <w:numFmt w:val="bullet"/>
      <w:lvlText w:val="o"/>
      <w:lvlJc w:val="left"/>
      <w:pPr>
        <w:ind w:left="38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DCA458E">
      <w:start w:val="1"/>
      <w:numFmt w:val="bullet"/>
      <w:lvlText w:val="▪"/>
      <w:lvlJc w:val="left"/>
      <w:pPr>
        <w:ind w:left="45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DD0A4FCA">
      <w:start w:val="1"/>
      <w:numFmt w:val="bullet"/>
      <w:lvlText w:val="•"/>
      <w:lvlJc w:val="left"/>
      <w:pPr>
        <w:ind w:left="52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0DCE396">
      <w:start w:val="1"/>
      <w:numFmt w:val="bullet"/>
      <w:lvlText w:val="o"/>
      <w:lvlJc w:val="left"/>
      <w:pPr>
        <w:ind w:left="59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1F4BA5A">
      <w:start w:val="1"/>
      <w:numFmt w:val="bullet"/>
      <w:lvlText w:val="▪"/>
      <w:lvlJc w:val="left"/>
      <w:pPr>
        <w:ind w:left="66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13F564FA"/>
    <w:multiLevelType w:val="hybridMultilevel"/>
    <w:tmpl w:val="38487B26"/>
    <w:lvl w:ilvl="0" w:tplc="E95E6B0C">
      <w:start w:val="1"/>
      <w:numFmt w:val="bullet"/>
      <w:lvlText w:val="•"/>
      <w:lvlJc w:val="left"/>
      <w:pPr>
        <w:ind w:left="16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0C427EC">
      <w:start w:val="1"/>
      <w:numFmt w:val="bullet"/>
      <w:lvlText w:val="o"/>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8B8A13A">
      <w:start w:val="1"/>
      <w:numFmt w:val="bullet"/>
      <w:lvlText w:val="▪"/>
      <w:lvlJc w:val="left"/>
      <w:pPr>
        <w:ind w:left="25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AEEC214A">
      <w:start w:val="1"/>
      <w:numFmt w:val="bullet"/>
      <w:lvlText w:val="•"/>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910D612">
      <w:start w:val="1"/>
      <w:numFmt w:val="bullet"/>
      <w:lvlText w:val="o"/>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CDEE44E">
      <w:start w:val="1"/>
      <w:numFmt w:val="bullet"/>
      <w:lvlText w:val="▪"/>
      <w:lvlJc w:val="left"/>
      <w:pPr>
        <w:ind w:left="46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0045B90">
      <w:start w:val="1"/>
      <w:numFmt w:val="bullet"/>
      <w:lvlText w:val="•"/>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31C588C">
      <w:start w:val="1"/>
      <w:numFmt w:val="bullet"/>
      <w:lvlText w:val="o"/>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59B86A38">
      <w:start w:val="1"/>
      <w:numFmt w:val="bullet"/>
      <w:lvlText w:val="▪"/>
      <w:lvlJc w:val="left"/>
      <w:pPr>
        <w:ind w:left="68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18786AA1"/>
    <w:multiLevelType w:val="multilevel"/>
    <w:tmpl w:val="E1DAE2FC"/>
    <w:lvl w:ilvl="0">
      <w:start w:val="1"/>
      <w:numFmt w:val="decimal"/>
      <w:lvlText w:val="%1."/>
      <w:lvlJc w:val="left"/>
      <w:pPr>
        <w:ind w:left="136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24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31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8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4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53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60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7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A393687"/>
    <w:multiLevelType w:val="hybridMultilevel"/>
    <w:tmpl w:val="424CBD9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20657AA2"/>
    <w:multiLevelType w:val="hybridMultilevel"/>
    <w:tmpl w:val="B2AE3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6502E7"/>
    <w:multiLevelType w:val="hybridMultilevel"/>
    <w:tmpl w:val="037E626C"/>
    <w:lvl w:ilvl="0" w:tplc="61128D6E">
      <w:start w:val="1"/>
      <w:numFmt w:val="none"/>
      <w:lvlText w:val="III."/>
      <w:lvlJc w:val="right"/>
      <w:pPr>
        <w:ind w:left="360" w:hanging="360"/>
      </w:pPr>
      <w:rPr>
        <w:rFonts w:hint="default"/>
      </w:r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2AE01429"/>
    <w:multiLevelType w:val="hybridMultilevel"/>
    <w:tmpl w:val="599C44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491613"/>
    <w:multiLevelType w:val="hybridMultilevel"/>
    <w:tmpl w:val="C29C5A5A"/>
    <w:lvl w:ilvl="0" w:tplc="04090001">
      <w:start w:val="1"/>
      <w:numFmt w:val="bullet"/>
      <w:lvlText w:val=""/>
      <w:lvlJc w:val="left"/>
      <w:pPr>
        <w:ind w:left="1282" w:hanging="360"/>
      </w:pPr>
      <w:rPr>
        <w:rFonts w:ascii="Symbol" w:hAnsi="Symbol" w:hint="default"/>
      </w:rPr>
    </w:lvl>
    <w:lvl w:ilvl="1" w:tplc="04090003">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9" w15:restartNumberingAfterBreak="0">
    <w:nsid w:val="34E03B67"/>
    <w:multiLevelType w:val="hybridMultilevel"/>
    <w:tmpl w:val="4718C57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3D940CFF"/>
    <w:multiLevelType w:val="hybridMultilevel"/>
    <w:tmpl w:val="690EB3D4"/>
    <w:lvl w:ilvl="0" w:tplc="7BF84220">
      <w:start w:val="1"/>
      <w:numFmt w:val="bullet"/>
      <w:lvlText w:val="•"/>
      <w:lvlJc w:val="left"/>
      <w:pPr>
        <w:ind w:left="9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190EDA0">
      <w:start w:val="1"/>
      <w:numFmt w:val="bullet"/>
      <w:lvlText w:val="o"/>
      <w:lvlJc w:val="left"/>
      <w:pPr>
        <w:ind w:left="16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9AA0CB0">
      <w:start w:val="1"/>
      <w:numFmt w:val="bullet"/>
      <w:lvlText w:val="▪"/>
      <w:lvlJc w:val="left"/>
      <w:pPr>
        <w:ind w:left="23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03C2642E">
      <w:start w:val="1"/>
      <w:numFmt w:val="bullet"/>
      <w:lvlText w:val="•"/>
      <w:lvlJc w:val="left"/>
      <w:pPr>
        <w:ind w:left="30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17A92BC">
      <w:start w:val="1"/>
      <w:numFmt w:val="bullet"/>
      <w:lvlText w:val="o"/>
      <w:lvlJc w:val="left"/>
      <w:pPr>
        <w:ind w:left="38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6D411D8">
      <w:start w:val="1"/>
      <w:numFmt w:val="bullet"/>
      <w:lvlText w:val="▪"/>
      <w:lvlJc w:val="left"/>
      <w:pPr>
        <w:ind w:left="45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E88287E4">
      <w:start w:val="1"/>
      <w:numFmt w:val="bullet"/>
      <w:lvlText w:val="•"/>
      <w:lvlJc w:val="left"/>
      <w:pPr>
        <w:ind w:left="52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8EC1AAA">
      <w:start w:val="1"/>
      <w:numFmt w:val="bullet"/>
      <w:lvlText w:val="o"/>
      <w:lvlJc w:val="left"/>
      <w:pPr>
        <w:ind w:left="59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1A4C3E0">
      <w:start w:val="1"/>
      <w:numFmt w:val="bullet"/>
      <w:lvlText w:val="▪"/>
      <w:lvlJc w:val="left"/>
      <w:pPr>
        <w:ind w:left="66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41495060"/>
    <w:multiLevelType w:val="hybridMultilevel"/>
    <w:tmpl w:val="92F07404"/>
    <w:lvl w:ilvl="0" w:tplc="5560B390">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1B2CD54">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4B043DC">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FD2F48A">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1DA4376">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2D22340">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022E85C">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C60A6A4">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4E051DA">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417023E3"/>
    <w:multiLevelType w:val="hybridMultilevel"/>
    <w:tmpl w:val="DD800EC6"/>
    <w:lvl w:ilvl="0" w:tplc="0972A6E2">
      <w:start w:val="1"/>
      <w:numFmt w:val="bullet"/>
      <w:lvlText w:val="•"/>
      <w:lvlJc w:val="left"/>
      <w:pPr>
        <w:ind w:left="9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B0036C0">
      <w:start w:val="1"/>
      <w:numFmt w:val="bullet"/>
      <w:lvlText w:val="o"/>
      <w:lvlJc w:val="left"/>
      <w:pPr>
        <w:ind w:left="16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DBACBC6">
      <w:start w:val="1"/>
      <w:numFmt w:val="bullet"/>
      <w:lvlText w:val="▪"/>
      <w:lvlJc w:val="left"/>
      <w:pPr>
        <w:ind w:left="23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44E34CC">
      <w:start w:val="1"/>
      <w:numFmt w:val="bullet"/>
      <w:lvlText w:val="•"/>
      <w:lvlJc w:val="left"/>
      <w:pPr>
        <w:ind w:left="30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14EC008">
      <w:start w:val="1"/>
      <w:numFmt w:val="bullet"/>
      <w:lvlText w:val="o"/>
      <w:lvlJc w:val="left"/>
      <w:pPr>
        <w:ind w:left="38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7425C9C">
      <w:start w:val="1"/>
      <w:numFmt w:val="bullet"/>
      <w:lvlText w:val="▪"/>
      <w:lvlJc w:val="left"/>
      <w:pPr>
        <w:ind w:left="45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526673DC">
      <w:start w:val="1"/>
      <w:numFmt w:val="bullet"/>
      <w:lvlText w:val="•"/>
      <w:lvlJc w:val="left"/>
      <w:pPr>
        <w:ind w:left="52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62ECBB0">
      <w:start w:val="1"/>
      <w:numFmt w:val="bullet"/>
      <w:lvlText w:val="o"/>
      <w:lvlJc w:val="left"/>
      <w:pPr>
        <w:ind w:left="59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F60D28C">
      <w:start w:val="1"/>
      <w:numFmt w:val="bullet"/>
      <w:lvlText w:val="▪"/>
      <w:lvlJc w:val="left"/>
      <w:pPr>
        <w:ind w:left="66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460E42EB"/>
    <w:multiLevelType w:val="hybridMultilevel"/>
    <w:tmpl w:val="B5A86EC6"/>
    <w:lvl w:ilvl="0" w:tplc="5EE4CBD2">
      <w:start w:val="1"/>
      <w:numFmt w:val="none"/>
      <w:lvlText w:val="II."/>
      <w:lvlJc w:val="right"/>
      <w:pPr>
        <w:ind w:left="36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15:restartNumberingAfterBreak="0">
    <w:nsid w:val="48372B99"/>
    <w:multiLevelType w:val="hybridMultilevel"/>
    <w:tmpl w:val="5EB81AA8"/>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15" w15:restartNumberingAfterBreak="0">
    <w:nsid w:val="4BC6375E"/>
    <w:multiLevelType w:val="hybridMultilevel"/>
    <w:tmpl w:val="BEB6F94E"/>
    <w:lvl w:ilvl="0" w:tplc="EF0C578A">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416F022">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9EA7BB0">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0AA664A">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B829872">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9083F6E">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838E720">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3DE2168">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178D06C">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4BF125A0"/>
    <w:multiLevelType w:val="hybridMultilevel"/>
    <w:tmpl w:val="31BAFA74"/>
    <w:lvl w:ilvl="0" w:tplc="04090017">
      <w:start w:val="1"/>
      <w:numFmt w:val="lowerLetter"/>
      <w:lvlText w:val="%1)"/>
      <w:lvlJc w:val="left"/>
      <w:pPr>
        <w:ind w:left="730" w:hanging="360"/>
      </w:pPr>
    </w:lvl>
    <w:lvl w:ilvl="1" w:tplc="04090019" w:tentative="1">
      <w:start w:val="1"/>
      <w:numFmt w:val="lowerLetter"/>
      <w:lvlText w:val="%2."/>
      <w:lvlJc w:val="left"/>
      <w:pPr>
        <w:ind w:left="1450" w:hanging="360"/>
      </w:pPr>
    </w:lvl>
    <w:lvl w:ilvl="2" w:tplc="0409001B" w:tentative="1">
      <w:start w:val="1"/>
      <w:numFmt w:val="lowerRoman"/>
      <w:lvlText w:val="%3."/>
      <w:lvlJc w:val="right"/>
      <w:pPr>
        <w:ind w:left="2170" w:hanging="180"/>
      </w:pPr>
    </w:lvl>
    <w:lvl w:ilvl="3" w:tplc="0409000F" w:tentative="1">
      <w:start w:val="1"/>
      <w:numFmt w:val="decimal"/>
      <w:lvlText w:val="%4."/>
      <w:lvlJc w:val="left"/>
      <w:pPr>
        <w:ind w:left="2890" w:hanging="360"/>
      </w:pPr>
    </w:lvl>
    <w:lvl w:ilvl="4" w:tplc="04090019" w:tentative="1">
      <w:start w:val="1"/>
      <w:numFmt w:val="lowerLetter"/>
      <w:lvlText w:val="%5."/>
      <w:lvlJc w:val="left"/>
      <w:pPr>
        <w:ind w:left="3610" w:hanging="360"/>
      </w:pPr>
    </w:lvl>
    <w:lvl w:ilvl="5" w:tplc="0409001B" w:tentative="1">
      <w:start w:val="1"/>
      <w:numFmt w:val="lowerRoman"/>
      <w:lvlText w:val="%6."/>
      <w:lvlJc w:val="right"/>
      <w:pPr>
        <w:ind w:left="4330" w:hanging="180"/>
      </w:pPr>
    </w:lvl>
    <w:lvl w:ilvl="6" w:tplc="0409000F" w:tentative="1">
      <w:start w:val="1"/>
      <w:numFmt w:val="decimal"/>
      <w:lvlText w:val="%7."/>
      <w:lvlJc w:val="left"/>
      <w:pPr>
        <w:ind w:left="5050" w:hanging="360"/>
      </w:pPr>
    </w:lvl>
    <w:lvl w:ilvl="7" w:tplc="04090019" w:tentative="1">
      <w:start w:val="1"/>
      <w:numFmt w:val="lowerLetter"/>
      <w:lvlText w:val="%8."/>
      <w:lvlJc w:val="left"/>
      <w:pPr>
        <w:ind w:left="5770" w:hanging="360"/>
      </w:pPr>
    </w:lvl>
    <w:lvl w:ilvl="8" w:tplc="0409001B" w:tentative="1">
      <w:start w:val="1"/>
      <w:numFmt w:val="lowerRoman"/>
      <w:lvlText w:val="%9."/>
      <w:lvlJc w:val="right"/>
      <w:pPr>
        <w:ind w:left="6490" w:hanging="180"/>
      </w:pPr>
    </w:lvl>
  </w:abstractNum>
  <w:abstractNum w:abstractNumId="17" w15:restartNumberingAfterBreak="0">
    <w:nsid w:val="4EC055BC"/>
    <w:multiLevelType w:val="hybridMultilevel"/>
    <w:tmpl w:val="A88CAA78"/>
    <w:lvl w:ilvl="0" w:tplc="36362F46">
      <w:start w:val="1"/>
      <w:numFmt w:val="bullet"/>
      <w:lvlText w:val="•"/>
      <w:lvlJc w:val="left"/>
      <w:pPr>
        <w:ind w:left="9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0EA3418">
      <w:start w:val="1"/>
      <w:numFmt w:val="bullet"/>
      <w:lvlText w:val="o"/>
      <w:lvlJc w:val="left"/>
      <w:pPr>
        <w:ind w:left="117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656C692">
      <w:start w:val="1"/>
      <w:numFmt w:val="bullet"/>
      <w:lvlText w:val="▪"/>
      <w:lvlJc w:val="left"/>
      <w:pPr>
        <w:ind w:left="189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A709FDA">
      <w:start w:val="1"/>
      <w:numFmt w:val="bullet"/>
      <w:lvlText w:val="•"/>
      <w:lvlJc w:val="left"/>
      <w:pPr>
        <w:ind w:left="26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37870EA">
      <w:start w:val="1"/>
      <w:numFmt w:val="bullet"/>
      <w:lvlText w:val="o"/>
      <w:lvlJc w:val="left"/>
      <w:pPr>
        <w:ind w:left="333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ADC6970">
      <w:start w:val="1"/>
      <w:numFmt w:val="bullet"/>
      <w:lvlText w:val="▪"/>
      <w:lvlJc w:val="left"/>
      <w:pPr>
        <w:ind w:left="405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BE0DF3E">
      <w:start w:val="1"/>
      <w:numFmt w:val="bullet"/>
      <w:lvlText w:val="•"/>
      <w:lvlJc w:val="left"/>
      <w:pPr>
        <w:ind w:left="47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3046530">
      <w:start w:val="1"/>
      <w:numFmt w:val="bullet"/>
      <w:lvlText w:val="o"/>
      <w:lvlJc w:val="left"/>
      <w:pPr>
        <w:ind w:left="549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6C4B48E">
      <w:start w:val="1"/>
      <w:numFmt w:val="bullet"/>
      <w:lvlText w:val="▪"/>
      <w:lvlJc w:val="left"/>
      <w:pPr>
        <w:ind w:left="621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5E7758F0"/>
    <w:multiLevelType w:val="hybridMultilevel"/>
    <w:tmpl w:val="7E0C138E"/>
    <w:lvl w:ilvl="0" w:tplc="04090001">
      <w:start w:val="1"/>
      <w:numFmt w:val="bullet"/>
      <w:lvlText w:val=""/>
      <w:lvlJc w:val="left"/>
      <w:pPr>
        <w:ind w:left="1272" w:hanging="360"/>
      </w:pPr>
      <w:rPr>
        <w:rFonts w:ascii="Symbol" w:hAnsi="Symbol" w:hint="default"/>
      </w:rPr>
    </w:lvl>
    <w:lvl w:ilvl="1" w:tplc="04090003" w:tentative="1">
      <w:start w:val="1"/>
      <w:numFmt w:val="bullet"/>
      <w:lvlText w:val="o"/>
      <w:lvlJc w:val="left"/>
      <w:pPr>
        <w:ind w:left="1992" w:hanging="360"/>
      </w:pPr>
      <w:rPr>
        <w:rFonts w:ascii="Courier New" w:hAnsi="Courier New" w:cs="Courier New" w:hint="default"/>
      </w:rPr>
    </w:lvl>
    <w:lvl w:ilvl="2" w:tplc="04090005" w:tentative="1">
      <w:start w:val="1"/>
      <w:numFmt w:val="bullet"/>
      <w:lvlText w:val=""/>
      <w:lvlJc w:val="left"/>
      <w:pPr>
        <w:ind w:left="2712" w:hanging="360"/>
      </w:pPr>
      <w:rPr>
        <w:rFonts w:ascii="Wingdings" w:hAnsi="Wingdings" w:hint="default"/>
      </w:rPr>
    </w:lvl>
    <w:lvl w:ilvl="3" w:tplc="04090001" w:tentative="1">
      <w:start w:val="1"/>
      <w:numFmt w:val="bullet"/>
      <w:lvlText w:val=""/>
      <w:lvlJc w:val="left"/>
      <w:pPr>
        <w:ind w:left="3432" w:hanging="360"/>
      </w:pPr>
      <w:rPr>
        <w:rFonts w:ascii="Symbol" w:hAnsi="Symbol" w:hint="default"/>
      </w:rPr>
    </w:lvl>
    <w:lvl w:ilvl="4" w:tplc="04090003" w:tentative="1">
      <w:start w:val="1"/>
      <w:numFmt w:val="bullet"/>
      <w:lvlText w:val="o"/>
      <w:lvlJc w:val="left"/>
      <w:pPr>
        <w:ind w:left="4152" w:hanging="360"/>
      </w:pPr>
      <w:rPr>
        <w:rFonts w:ascii="Courier New" w:hAnsi="Courier New" w:cs="Courier New" w:hint="default"/>
      </w:rPr>
    </w:lvl>
    <w:lvl w:ilvl="5" w:tplc="04090005" w:tentative="1">
      <w:start w:val="1"/>
      <w:numFmt w:val="bullet"/>
      <w:lvlText w:val=""/>
      <w:lvlJc w:val="left"/>
      <w:pPr>
        <w:ind w:left="4872" w:hanging="360"/>
      </w:pPr>
      <w:rPr>
        <w:rFonts w:ascii="Wingdings" w:hAnsi="Wingdings" w:hint="default"/>
      </w:rPr>
    </w:lvl>
    <w:lvl w:ilvl="6" w:tplc="04090001" w:tentative="1">
      <w:start w:val="1"/>
      <w:numFmt w:val="bullet"/>
      <w:lvlText w:val=""/>
      <w:lvlJc w:val="left"/>
      <w:pPr>
        <w:ind w:left="5592" w:hanging="360"/>
      </w:pPr>
      <w:rPr>
        <w:rFonts w:ascii="Symbol" w:hAnsi="Symbol" w:hint="default"/>
      </w:rPr>
    </w:lvl>
    <w:lvl w:ilvl="7" w:tplc="04090003" w:tentative="1">
      <w:start w:val="1"/>
      <w:numFmt w:val="bullet"/>
      <w:lvlText w:val="o"/>
      <w:lvlJc w:val="left"/>
      <w:pPr>
        <w:ind w:left="6312" w:hanging="360"/>
      </w:pPr>
      <w:rPr>
        <w:rFonts w:ascii="Courier New" w:hAnsi="Courier New" w:cs="Courier New" w:hint="default"/>
      </w:rPr>
    </w:lvl>
    <w:lvl w:ilvl="8" w:tplc="04090005" w:tentative="1">
      <w:start w:val="1"/>
      <w:numFmt w:val="bullet"/>
      <w:lvlText w:val=""/>
      <w:lvlJc w:val="left"/>
      <w:pPr>
        <w:ind w:left="7032" w:hanging="360"/>
      </w:pPr>
      <w:rPr>
        <w:rFonts w:ascii="Wingdings" w:hAnsi="Wingdings" w:hint="default"/>
      </w:rPr>
    </w:lvl>
  </w:abstractNum>
  <w:abstractNum w:abstractNumId="19" w15:restartNumberingAfterBreak="0">
    <w:nsid w:val="63020533"/>
    <w:multiLevelType w:val="hybridMultilevel"/>
    <w:tmpl w:val="F7E8003A"/>
    <w:lvl w:ilvl="0" w:tplc="0F023F9E">
      <w:start w:val="1"/>
      <w:numFmt w:val="decimal"/>
      <w:lvlText w:val="%1."/>
      <w:lvlJc w:val="left"/>
      <w:pPr>
        <w:ind w:left="1090" w:hanging="360"/>
      </w:pPr>
      <w:rPr>
        <w:rFonts w:hint="default"/>
      </w:rPr>
    </w:lvl>
    <w:lvl w:ilvl="1" w:tplc="04090019" w:tentative="1">
      <w:start w:val="1"/>
      <w:numFmt w:val="lowerLetter"/>
      <w:lvlText w:val="%2."/>
      <w:lvlJc w:val="left"/>
      <w:pPr>
        <w:ind w:left="1810" w:hanging="360"/>
      </w:pPr>
    </w:lvl>
    <w:lvl w:ilvl="2" w:tplc="0409001B" w:tentative="1">
      <w:start w:val="1"/>
      <w:numFmt w:val="lowerRoman"/>
      <w:lvlText w:val="%3."/>
      <w:lvlJc w:val="right"/>
      <w:pPr>
        <w:ind w:left="2530" w:hanging="180"/>
      </w:pPr>
    </w:lvl>
    <w:lvl w:ilvl="3" w:tplc="0409000F" w:tentative="1">
      <w:start w:val="1"/>
      <w:numFmt w:val="decimal"/>
      <w:lvlText w:val="%4."/>
      <w:lvlJc w:val="left"/>
      <w:pPr>
        <w:ind w:left="3250" w:hanging="360"/>
      </w:pPr>
    </w:lvl>
    <w:lvl w:ilvl="4" w:tplc="04090019" w:tentative="1">
      <w:start w:val="1"/>
      <w:numFmt w:val="lowerLetter"/>
      <w:lvlText w:val="%5."/>
      <w:lvlJc w:val="left"/>
      <w:pPr>
        <w:ind w:left="3970" w:hanging="360"/>
      </w:pPr>
    </w:lvl>
    <w:lvl w:ilvl="5" w:tplc="0409001B" w:tentative="1">
      <w:start w:val="1"/>
      <w:numFmt w:val="lowerRoman"/>
      <w:lvlText w:val="%6."/>
      <w:lvlJc w:val="right"/>
      <w:pPr>
        <w:ind w:left="4690" w:hanging="180"/>
      </w:pPr>
    </w:lvl>
    <w:lvl w:ilvl="6" w:tplc="0409000F" w:tentative="1">
      <w:start w:val="1"/>
      <w:numFmt w:val="decimal"/>
      <w:lvlText w:val="%7."/>
      <w:lvlJc w:val="left"/>
      <w:pPr>
        <w:ind w:left="5410" w:hanging="360"/>
      </w:pPr>
    </w:lvl>
    <w:lvl w:ilvl="7" w:tplc="04090019" w:tentative="1">
      <w:start w:val="1"/>
      <w:numFmt w:val="lowerLetter"/>
      <w:lvlText w:val="%8."/>
      <w:lvlJc w:val="left"/>
      <w:pPr>
        <w:ind w:left="6130" w:hanging="360"/>
      </w:pPr>
    </w:lvl>
    <w:lvl w:ilvl="8" w:tplc="0409001B" w:tentative="1">
      <w:start w:val="1"/>
      <w:numFmt w:val="lowerRoman"/>
      <w:lvlText w:val="%9."/>
      <w:lvlJc w:val="right"/>
      <w:pPr>
        <w:ind w:left="6850" w:hanging="180"/>
      </w:pPr>
    </w:lvl>
  </w:abstractNum>
  <w:abstractNum w:abstractNumId="20" w15:restartNumberingAfterBreak="0">
    <w:nsid w:val="67003713"/>
    <w:multiLevelType w:val="hybridMultilevel"/>
    <w:tmpl w:val="292A7DA6"/>
    <w:lvl w:ilvl="0" w:tplc="04090001">
      <w:start w:val="1"/>
      <w:numFmt w:val="bullet"/>
      <w:lvlText w:val=""/>
      <w:lvlJc w:val="left"/>
      <w:pPr>
        <w:ind w:left="1282" w:hanging="360"/>
      </w:pPr>
      <w:rPr>
        <w:rFonts w:ascii="Symbol" w:hAnsi="Symbol" w:hint="default"/>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21" w15:restartNumberingAfterBreak="0">
    <w:nsid w:val="6BDD45FB"/>
    <w:multiLevelType w:val="hybridMultilevel"/>
    <w:tmpl w:val="F8D49408"/>
    <w:lvl w:ilvl="0" w:tplc="04090013">
      <w:start w:val="1"/>
      <w:numFmt w:val="upperRoman"/>
      <w:lvlText w:val="%1."/>
      <w:lvlJc w:val="right"/>
      <w:pPr>
        <w:ind w:left="36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2" w15:restartNumberingAfterBreak="0">
    <w:nsid w:val="6DFA5CF4"/>
    <w:multiLevelType w:val="hybridMultilevel"/>
    <w:tmpl w:val="AA62100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714374A3"/>
    <w:multiLevelType w:val="hybridMultilevel"/>
    <w:tmpl w:val="E5904152"/>
    <w:lvl w:ilvl="0" w:tplc="5FDE42D2">
      <w:start w:val="1"/>
      <w:numFmt w:val="bullet"/>
      <w:lvlText w:val="•"/>
      <w:lvlJc w:val="left"/>
      <w:pPr>
        <w:ind w:left="155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682C986">
      <w:start w:val="1"/>
      <w:numFmt w:val="bullet"/>
      <w:lvlText w:val="o"/>
      <w:lvlJc w:val="left"/>
      <w:pPr>
        <w:ind w:left="164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23C5D06">
      <w:start w:val="1"/>
      <w:numFmt w:val="bullet"/>
      <w:lvlText w:val="▪"/>
      <w:lvlJc w:val="left"/>
      <w:pPr>
        <w:ind w:left="236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F986900">
      <w:start w:val="1"/>
      <w:numFmt w:val="bullet"/>
      <w:lvlText w:val="•"/>
      <w:lvlJc w:val="left"/>
      <w:pPr>
        <w:ind w:left="30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A901F3E">
      <w:start w:val="1"/>
      <w:numFmt w:val="bullet"/>
      <w:lvlText w:val="o"/>
      <w:lvlJc w:val="left"/>
      <w:pPr>
        <w:ind w:left="380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DA69FF0">
      <w:start w:val="1"/>
      <w:numFmt w:val="bullet"/>
      <w:lvlText w:val="▪"/>
      <w:lvlJc w:val="left"/>
      <w:pPr>
        <w:ind w:left="452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C8ADA74">
      <w:start w:val="1"/>
      <w:numFmt w:val="bullet"/>
      <w:lvlText w:val="•"/>
      <w:lvlJc w:val="left"/>
      <w:pPr>
        <w:ind w:left="52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94E2E7A">
      <w:start w:val="1"/>
      <w:numFmt w:val="bullet"/>
      <w:lvlText w:val="o"/>
      <w:lvlJc w:val="left"/>
      <w:pPr>
        <w:ind w:left="596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C0E7524">
      <w:start w:val="1"/>
      <w:numFmt w:val="bullet"/>
      <w:lvlText w:val="▪"/>
      <w:lvlJc w:val="left"/>
      <w:pPr>
        <w:ind w:left="668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7A9C0DA4"/>
    <w:multiLevelType w:val="hybridMultilevel"/>
    <w:tmpl w:val="229E6F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5263CC"/>
    <w:multiLevelType w:val="hybridMultilevel"/>
    <w:tmpl w:val="3848A8B6"/>
    <w:lvl w:ilvl="0" w:tplc="9334BA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9851349">
    <w:abstractNumId w:val="3"/>
  </w:num>
  <w:num w:numId="2" w16cid:durableId="230238999">
    <w:abstractNumId w:val="10"/>
  </w:num>
  <w:num w:numId="3" w16cid:durableId="1952083515">
    <w:abstractNumId w:val="1"/>
  </w:num>
  <w:num w:numId="4" w16cid:durableId="175657096">
    <w:abstractNumId w:val="17"/>
  </w:num>
  <w:num w:numId="5" w16cid:durableId="1930263887">
    <w:abstractNumId w:val="2"/>
  </w:num>
  <w:num w:numId="6" w16cid:durableId="2026708278">
    <w:abstractNumId w:val="12"/>
  </w:num>
  <w:num w:numId="7" w16cid:durableId="325941487">
    <w:abstractNumId w:val="23"/>
  </w:num>
  <w:num w:numId="8" w16cid:durableId="1520316811">
    <w:abstractNumId w:val="11"/>
  </w:num>
  <w:num w:numId="9" w16cid:durableId="2047560276">
    <w:abstractNumId w:val="15"/>
  </w:num>
  <w:num w:numId="10" w16cid:durableId="2095783083">
    <w:abstractNumId w:val="9"/>
  </w:num>
  <w:num w:numId="11" w16cid:durableId="1113476196">
    <w:abstractNumId w:val="5"/>
  </w:num>
  <w:num w:numId="12" w16cid:durableId="634600969">
    <w:abstractNumId w:val="22"/>
  </w:num>
  <w:num w:numId="13" w16cid:durableId="818041159">
    <w:abstractNumId w:val="0"/>
  </w:num>
  <w:num w:numId="14" w16cid:durableId="2000423843">
    <w:abstractNumId w:val="18"/>
  </w:num>
  <w:num w:numId="15" w16cid:durableId="1743405156">
    <w:abstractNumId w:val="8"/>
  </w:num>
  <w:num w:numId="16" w16cid:durableId="109861353">
    <w:abstractNumId w:val="20"/>
  </w:num>
  <w:num w:numId="17" w16cid:durableId="498081251">
    <w:abstractNumId w:val="14"/>
  </w:num>
  <w:num w:numId="18" w16cid:durableId="736786484">
    <w:abstractNumId w:val="13"/>
  </w:num>
  <w:num w:numId="19" w16cid:durableId="593783344">
    <w:abstractNumId w:val="25"/>
  </w:num>
  <w:num w:numId="20" w16cid:durableId="131365700">
    <w:abstractNumId w:val="16"/>
  </w:num>
  <w:num w:numId="21" w16cid:durableId="796027735">
    <w:abstractNumId w:val="24"/>
  </w:num>
  <w:num w:numId="22" w16cid:durableId="700711740">
    <w:abstractNumId w:val="21"/>
  </w:num>
  <w:num w:numId="23" w16cid:durableId="1323512286">
    <w:abstractNumId w:val="6"/>
  </w:num>
  <w:num w:numId="24" w16cid:durableId="1563174892">
    <w:abstractNumId w:val="7"/>
  </w:num>
  <w:num w:numId="25" w16cid:durableId="1412773564">
    <w:abstractNumId w:val="19"/>
  </w:num>
  <w:num w:numId="26" w16cid:durableId="19965688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2"/>
  <w:proofState w:spelling="clean" w:grammar="clean"/>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1D24"/>
    <w:rsid w:val="00011D24"/>
    <w:rsid w:val="000469E5"/>
    <w:rsid w:val="000777C0"/>
    <w:rsid w:val="00124002"/>
    <w:rsid w:val="002019D0"/>
    <w:rsid w:val="00264524"/>
    <w:rsid w:val="002B0555"/>
    <w:rsid w:val="002B2693"/>
    <w:rsid w:val="002D335A"/>
    <w:rsid w:val="002F5E76"/>
    <w:rsid w:val="00303FBF"/>
    <w:rsid w:val="00304AE7"/>
    <w:rsid w:val="00304F2E"/>
    <w:rsid w:val="00306677"/>
    <w:rsid w:val="003A5465"/>
    <w:rsid w:val="003A67C0"/>
    <w:rsid w:val="003D2389"/>
    <w:rsid w:val="003D6726"/>
    <w:rsid w:val="003E7790"/>
    <w:rsid w:val="003F5B79"/>
    <w:rsid w:val="00432D03"/>
    <w:rsid w:val="004A5B67"/>
    <w:rsid w:val="005143C6"/>
    <w:rsid w:val="0052677D"/>
    <w:rsid w:val="0058577F"/>
    <w:rsid w:val="006A2BE6"/>
    <w:rsid w:val="006B71DA"/>
    <w:rsid w:val="006D498B"/>
    <w:rsid w:val="006D7E11"/>
    <w:rsid w:val="006D7E2F"/>
    <w:rsid w:val="006F35B6"/>
    <w:rsid w:val="00756346"/>
    <w:rsid w:val="00812C4C"/>
    <w:rsid w:val="00835F93"/>
    <w:rsid w:val="00873C8A"/>
    <w:rsid w:val="00987288"/>
    <w:rsid w:val="00993F1F"/>
    <w:rsid w:val="00A63C50"/>
    <w:rsid w:val="00AA7B7E"/>
    <w:rsid w:val="00AD0AA6"/>
    <w:rsid w:val="00AD2A57"/>
    <w:rsid w:val="00B118BF"/>
    <w:rsid w:val="00B71138"/>
    <w:rsid w:val="00BB1C9E"/>
    <w:rsid w:val="00BB5D56"/>
    <w:rsid w:val="00BC5D66"/>
    <w:rsid w:val="00C24F85"/>
    <w:rsid w:val="00CC1E75"/>
    <w:rsid w:val="00D31890"/>
    <w:rsid w:val="00D32D8F"/>
    <w:rsid w:val="00D3369C"/>
    <w:rsid w:val="00DC5DE7"/>
    <w:rsid w:val="00E22634"/>
    <w:rsid w:val="00E4713E"/>
    <w:rsid w:val="00EE003E"/>
    <w:rsid w:val="00F115F3"/>
    <w:rsid w:val="00F421E3"/>
    <w:rsid w:val="00F51311"/>
    <w:rsid w:val="00F826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BAFC4"/>
  <w15:docId w15:val="{ABF6A168-5D16-4F40-A009-A8883C89F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28" w:line="249" w:lineRule="auto"/>
      <w:ind w:left="577" w:hanging="10"/>
    </w:pPr>
    <w:rPr>
      <w:rFonts w:ascii="Arial" w:eastAsia="Arial" w:hAnsi="Arial" w:cs="Arial"/>
      <w:color w:val="000000"/>
      <w:sz w:val="20"/>
    </w:rPr>
  </w:style>
  <w:style w:type="paragraph" w:styleId="Heading1">
    <w:name w:val="heading 1"/>
    <w:next w:val="Normal"/>
    <w:link w:val="Heading1Char"/>
    <w:uiPriority w:val="9"/>
    <w:qFormat/>
    <w:pPr>
      <w:keepNext/>
      <w:keepLines/>
      <w:spacing w:after="204" w:line="259" w:lineRule="auto"/>
      <w:ind w:left="1376" w:hanging="10"/>
      <w:outlineLvl w:val="0"/>
    </w:pPr>
    <w:rPr>
      <w:rFonts w:ascii="Arial" w:eastAsia="Arial" w:hAnsi="Arial" w:cs="Arial"/>
      <w:b/>
      <w:color w:val="000000"/>
      <w:sz w:val="22"/>
    </w:rPr>
  </w:style>
  <w:style w:type="paragraph" w:styleId="Heading2">
    <w:name w:val="heading 2"/>
    <w:next w:val="Normal"/>
    <w:link w:val="Heading2Char"/>
    <w:uiPriority w:val="9"/>
    <w:unhideWhenUsed/>
    <w:qFormat/>
    <w:pPr>
      <w:keepNext/>
      <w:keepLines/>
      <w:spacing w:after="204" w:line="259" w:lineRule="auto"/>
      <w:ind w:left="1376" w:hanging="10"/>
      <w:outlineLvl w:val="1"/>
    </w:pPr>
    <w:rPr>
      <w:rFonts w:ascii="Arial" w:eastAsia="Arial" w:hAnsi="Arial" w:cs="Arial"/>
      <w:b/>
      <w:color w:val="000000"/>
      <w:sz w:val="22"/>
    </w:rPr>
  </w:style>
  <w:style w:type="paragraph" w:styleId="Heading3">
    <w:name w:val="heading 3"/>
    <w:next w:val="Normal"/>
    <w:link w:val="Heading3Char"/>
    <w:uiPriority w:val="9"/>
    <w:unhideWhenUsed/>
    <w:qFormat/>
    <w:pPr>
      <w:keepNext/>
      <w:keepLines/>
      <w:spacing w:after="204" w:line="259" w:lineRule="auto"/>
      <w:ind w:left="1376" w:hanging="10"/>
      <w:outlineLvl w:val="2"/>
    </w:pPr>
    <w:rPr>
      <w:rFonts w:ascii="Arial" w:eastAsia="Arial" w:hAnsi="Arial" w:cs="Arial"/>
      <w:b/>
      <w:color w:val="000000"/>
      <w:sz w:val="22"/>
    </w:rPr>
  </w:style>
  <w:style w:type="paragraph" w:styleId="Heading4">
    <w:name w:val="heading 4"/>
    <w:next w:val="Normal"/>
    <w:link w:val="Heading4Char"/>
    <w:uiPriority w:val="9"/>
    <w:unhideWhenUsed/>
    <w:qFormat/>
    <w:pPr>
      <w:keepNext/>
      <w:keepLines/>
      <w:spacing w:after="204" w:line="259" w:lineRule="auto"/>
      <w:ind w:left="1376" w:hanging="10"/>
      <w:outlineLvl w:val="3"/>
    </w:pPr>
    <w:rPr>
      <w:rFonts w:ascii="Arial" w:eastAsia="Arial" w:hAnsi="Arial" w:cs="Arial"/>
      <w:b/>
      <w:color w:val="00000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Pr>
      <w:rFonts w:ascii="Arial" w:eastAsia="Arial" w:hAnsi="Arial" w:cs="Arial"/>
      <w:b/>
      <w:color w:val="000000"/>
      <w:sz w:val="22"/>
    </w:rPr>
  </w:style>
  <w:style w:type="character" w:customStyle="1" w:styleId="Heading1Char">
    <w:name w:val="Heading 1 Char"/>
    <w:link w:val="Heading1"/>
    <w:rPr>
      <w:rFonts w:ascii="Arial" w:eastAsia="Arial" w:hAnsi="Arial" w:cs="Arial"/>
      <w:b/>
      <w:color w:val="000000"/>
      <w:sz w:val="22"/>
    </w:rPr>
  </w:style>
  <w:style w:type="character" w:customStyle="1" w:styleId="Heading3Char">
    <w:name w:val="Heading 3 Char"/>
    <w:link w:val="Heading3"/>
    <w:rPr>
      <w:rFonts w:ascii="Arial" w:eastAsia="Arial" w:hAnsi="Arial" w:cs="Arial"/>
      <w:b/>
      <w:color w:val="000000"/>
      <w:sz w:val="22"/>
    </w:rPr>
  </w:style>
  <w:style w:type="character" w:customStyle="1" w:styleId="Heading2Char">
    <w:name w:val="Heading 2 Char"/>
    <w:link w:val="Heading2"/>
    <w:uiPriority w:val="9"/>
    <w:rPr>
      <w:rFonts w:ascii="Arial" w:eastAsia="Arial" w:hAnsi="Arial" w:cs="Arial"/>
      <w:b/>
      <w:color w:val="000000"/>
      <w:sz w:val="22"/>
    </w:rPr>
  </w:style>
  <w:style w:type="table" w:customStyle="1" w:styleId="TableGrid">
    <w:name w:val="TableGrid"/>
    <w:tblPr>
      <w:tblCellMar>
        <w:top w:w="0" w:type="dxa"/>
        <w:left w:w="0" w:type="dxa"/>
        <w:bottom w:w="0" w:type="dxa"/>
        <w:right w:w="0" w:type="dxa"/>
      </w:tblCellMar>
    </w:tblPr>
  </w:style>
  <w:style w:type="paragraph" w:styleId="ListParagraph">
    <w:name w:val="List Paragraph"/>
    <w:basedOn w:val="Normal"/>
    <w:uiPriority w:val="34"/>
    <w:qFormat/>
    <w:rsid w:val="00993F1F"/>
    <w:pPr>
      <w:ind w:left="720"/>
      <w:contextualSpacing/>
    </w:pPr>
  </w:style>
  <w:style w:type="table" w:styleId="TableGrid0">
    <w:name w:val="Table Grid"/>
    <w:basedOn w:val="TableNormal"/>
    <w:uiPriority w:val="39"/>
    <w:rsid w:val="003F5B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3F5B79"/>
  </w:style>
  <w:style w:type="paragraph" w:styleId="Footer">
    <w:name w:val="footer"/>
    <w:basedOn w:val="Normal"/>
    <w:link w:val="FooterChar"/>
    <w:uiPriority w:val="99"/>
    <w:unhideWhenUsed/>
    <w:rsid w:val="005267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677D"/>
    <w:rPr>
      <w:rFonts w:ascii="Arial" w:eastAsia="Arial" w:hAnsi="Arial" w:cs="Arial"/>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58845">
      <w:bodyDiv w:val="1"/>
      <w:marLeft w:val="0"/>
      <w:marRight w:val="0"/>
      <w:marTop w:val="0"/>
      <w:marBottom w:val="0"/>
      <w:divBdr>
        <w:top w:val="none" w:sz="0" w:space="0" w:color="auto"/>
        <w:left w:val="none" w:sz="0" w:space="0" w:color="auto"/>
        <w:bottom w:val="none" w:sz="0" w:space="0" w:color="auto"/>
        <w:right w:val="none" w:sz="0" w:space="0" w:color="auto"/>
      </w:divBdr>
    </w:div>
    <w:div w:id="1279602947">
      <w:bodyDiv w:val="1"/>
      <w:marLeft w:val="0"/>
      <w:marRight w:val="0"/>
      <w:marTop w:val="0"/>
      <w:marBottom w:val="0"/>
      <w:divBdr>
        <w:top w:val="none" w:sz="0" w:space="0" w:color="auto"/>
        <w:left w:val="none" w:sz="0" w:space="0" w:color="auto"/>
        <w:bottom w:val="none" w:sz="0" w:space="0" w:color="auto"/>
        <w:right w:val="none" w:sz="0" w:space="0" w:color="auto"/>
      </w:divBdr>
    </w:div>
    <w:div w:id="13671759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file:////Users/davidegarcia/Library/Containers/com.microsoft.Outlook/Data/Library/Caches/Signatures/signature_1859470907" TargetMode="Externa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3514</Words>
  <Characters>20036</Characters>
  <Application>Microsoft Office Word</Application>
  <DocSecurity>0</DocSecurity>
  <Lines>166</Lines>
  <Paragraphs>47</Paragraphs>
  <ScaleCrop>false</ScaleCrop>
  <HeadingPairs>
    <vt:vector size="2" baseType="variant">
      <vt:variant>
        <vt:lpstr>Title</vt:lpstr>
      </vt:variant>
      <vt:variant>
        <vt:i4>1</vt:i4>
      </vt:variant>
    </vt:vector>
  </HeadingPairs>
  <TitlesOfParts>
    <vt:vector size="1" baseType="lpstr">
      <vt:lpstr>Microsoft Word - Risk Management Policy IronHorse Power Services^LLJ LLC.docx</vt:lpstr>
    </vt:vector>
  </TitlesOfParts>
  <Company/>
  <LinksUpToDate>false</LinksUpToDate>
  <CharactersWithSpaces>23503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Risk Management Policy IronHorse Power Services^LLJ LLC.docx</dc:title>
  <dc:subject/>
  <dc:creator>David Garcia</dc:creator>
  <cp:keywords/>
  <cp:lastModifiedBy>David Garcia</cp:lastModifiedBy>
  <cp:revision>2</cp:revision>
  <dcterms:created xsi:type="dcterms:W3CDTF">2022-04-18T23:22:00Z</dcterms:created>
  <dcterms:modified xsi:type="dcterms:W3CDTF">2022-04-18T23:22:00Z</dcterms:modified>
</cp:coreProperties>
</file>